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9C5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5409C5C" w14:textId="77777777" w:rsidTr="2470B3BE">
        <w:tc>
          <w:tcPr>
            <w:tcW w:w="2438" w:type="dxa"/>
            <w:shd w:val="clear" w:color="auto" w:fill="auto"/>
          </w:tcPr>
          <w:p w14:paraId="25409C5A"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5409C5B" w14:textId="47ECCD13" w:rsidR="00F445B1" w:rsidRPr="00F95BC9" w:rsidRDefault="00587C90" w:rsidP="004A6D2F">
            <w:pPr>
              <w:rPr>
                <w:rStyle w:val="Firstpagetablebold"/>
              </w:rPr>
            </w:pPr>
            <w:r>
              <w:rPr>
                <w:rStyle w:val="Firstpagetablebold"/>
              </w:rPr>
              <w:t>Scrutiny</w:t>
            </w:r>
            <w:r w:rsidR="00821AAF">
              <w:rPr>
                <w:rStyle w:val="Firstpagetablebold"/>
              </w:rPr>
              <w:t xml:space="preserve"> Committee</w:t>
            </w:r>
          </w:p>
        </w:tc>
      </w:tr>
      <w:tr w:rsidR="00CE544A" w:rsidRPr="00975B07" w14:paraId="25409C5F" w14:textId="77777777" w:rsidTr="2470B3BE">
        <w:tc>
          <w:tcPr>
            <w:tcW w:w="2438" w:type="dxa"/>
            <w:shd w:val="clear" w:color="auto" w:fill="auto"/>
          </w:tcPr>
          <w:p w14:paraId="25409C5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5409C5E" w14:textId="5F06E4A1" w:rsidR="00F445B1" w:rsidRPr="001356F1" w:rsidRDefault="0084607A" w:rsidP="005D0621">
            <w:pPr>
              <w:rPr>
                <w:b/>
              </w:rPr>
            </w:pPr>
            <w:r>
              <w:rPr>
                <w:rStyle w:val="Firstpagetablebold"/>
              </w:rPr>
              <w:t>11 April 2024</w:t>
            </w:r>
          </w:p>
        </w:tc>
      </w:tr>
      <w:tr w:rsidR="00CE544A" w:rsidRPr="00975B07" w14:paraId="25409C62" w14:textId="77777777" w:rsidTr="2470B3BE">
        <w:tc>
          <w:tcPr>
            <w:tcW w:w="2438" w:type="dxa"/>
            <w:shd w:val="clear" w:color="auto" w:fill="auto"/>
          </w:tcPr>
          <w:p w14:paraId="25409C60"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5409C61" w14:textId="62F106B3" w:rsidR="00F445B1" w:rsidRPr="001356F1" w:rsidRDefault="3B6A0EA3" w:rsidP="004A6D2F">
            <w:pPr>
              <w:rPr>
                <w:rStyle w:val="Firstpagetablebold"/>
              </w:rPr>
            </w:pPr>
            <w:r w:rsidRPr="2470B3BE">
              <w:rPr>
                <w:rStyle w:val="Firstpagetablebold"/>
              </w:rPr>
              <w:t xml:space="preserve">Head of </w:t>
            </w:r>
            <w:r w:rsidR="44BA6B41" w:rsidRPr="2470B3BE">
              <w:rPr>
                <w:rStyle w:val="Firstpagetablebold"/>
              </w:rPr>
              <w:t>Regeneration &amp; Economy</w:t>
            </w:r>
          </w:p>
        </w:tc>
      </w:tr>
      <w:tr w:rsidR="00CE544A" w:rsidRPr="00975B07" w14:paraId="25409C65" w14:textId="77777777" w:rsidTr="2470B3BE">
        <w:tc>
          <w:tcPr>
            <w:tcW w:w="2438" w:type="dxa"/>
            <w:shd w:val="clear" w:color="auto" w:fill="auto"/>
          </w:tcPr>
          <w:p w14:paraId="25409C6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5409C64" w14:textId="02C59D47" w:rsidR="00F445B1" w:rsidRPr="001356F1" w:rsidRDefault="0084607A" w:rsidP="004A6D2F">
            <w:pPr>
              <w:rPr>
                <w:rStyle w:val="Firstpagetablebold"/>
              </w:rPr>
            </w:pPr>
            <w:r>
              <w:rPr>
                <w:rStyle w:val="Firstpagetablebold"/>
              </w:rPr>
              <w:t>Tourism Management Review Group Update</w:t>
            </w:r>
          </w:p>
        </w:tc>
      </w:tr>
    </w:tbl>
    <w:p w14:paraId="25409C6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5409C68" w14:textId="77777777" w:rsidTr="667B96F9">
        <w:tc>
          <w:tcPr>
            <w:tcW w:w="8845" w:type="dxa"/>
            <w:gridSpan w:val="3"/>
            <w:tcBorders>
              <w:bottom w:val="single" w:sz="8" w:space="0" w:color="000000" w:themeColor="text1"/>
            </w:tcBorders>
            <w:hideMark/>
          </w:tcPr>
          <w:p w14:paraId="25409C67"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5409C6B" w14:textId="77777777" w:rsidTr="667B96F9">
        <w:tc>
          <w:tcPr>
            <w:tcW w:w="2438" w:type="dxa"/>
            <w:gridSpan w:val="2"/>
            <w:tcBorders>
              <w:top w:val="single" w:sz="8" w:space="0" w:color="000000" w:themeColor="text1"/>
              <w:left w:val="single" w:sz="8" w:space="0" w:color="000000" w:themeColor="text1"/>
              <w:bottom w:val="nil"/>
              <w:right w:val="nil"/>
            </w:tcBorders>
            <w:hideMark/>
          </w:tcPr>
          <w:p w14:paraId="25409C69" w14:textId="77777777" w:rsidR="00D5547E" w:rsidRDefault="00D5547E">
            <w:pPr>
              <w:rPr>
                <w:rStyle w:val="Firstpagetablebold"/>
              </w:rPr>
            </w:pPr>
            <w:r>
              <w:rPr>
                <w:rStyle w:val="Firstpagetablebold"/>
              </w:rPr>
              <w:t>Purpose of report:</w:t>
            </w:r>
          </w:p>
        </w:tc>
        <w:tc>
          <w:tcPr>
            <w:tcW w:w="6407" w:type="dxa"/>
            <w:tcBorders>
              <w:top w:val="single" w:sz="8" w:space="0" w:color="000000" w:themeColor="text1"/>
              <w:left w:val="nil"/>
              <w:bottom w:val="nil"/>
              <w:right w:val="single" w:sz="8" w:space="0" w:color="000000" w:themeColor="text1"/>
            </w:tcBorders>
            <w:hideMark/>
          </w:tcPr>
          <w:p w14:paraId="25409C6A" w14:textId="19253C4F" w:rsidR="00D5547E" w:rsidRPr="001356F1" w:rsidRDefault="4031D85E" w:rsidP="2470B3BE">
            <w:pPr>
              <w:spacing w:line="259" w:lineRule="auto"/>
            </w:pPr>
            <w:r>
              <w:t>Update for Scrutiny Committee on progress regarding Tourism Management since 2021</w:t>
            </w:r>
          </w:p>
        </w:tc>
      </w:tr>
      <w:tr w:rsidR="00D5547E" w14:paraId="25409C6E" w14:textId="77777777" w:rsidTr="667B96F9">
        <w:tc>
          <w:tcPr>
            <w:tcW w:w="2438" w:type="dxa"/>
            <w:gridSpan w:val="2"/>
            <w:tcBorders>
              <w:top w:val="nil"/>
              <w:left w:val="single" w:sz="8" w:space="0" w:color="000000" w:themeColor="text1"/>
              <w:bottom w:val="nil"/>
              <w:right w:val="nil"/>
            </w:tcBorders>
            <w:hideMark/>
          </w:tcPr>
          <w:p w14:paraId="25409C6C" w14:textId="77777777" w:rsidR="00D5547E" w:rsidRPr="0084607A" w:rsidRDefault="00D5547E">
            <w:pPr>
              <w:rPr>
                <w:rStyle w:val="Firstpagetablebold"/>
                <w:color w:val="auto"/>
              </w:rPr>
            </w:pPr>
            <w:r w:rsidRPr="0084607A">
              <w:rPr>
                <w:rStyle w:val="Firstpagetablebold"/>
                <w:color w:val="auto"/>
              </w:rPr>
              <w:t>Key decision:</w:t>
            </w:r>
          </w:p>
        </w:tc>
        <w:tc>
          <w:tcPr>
            <w:tcW w:w="6407" w:type="dxa"/>
            <w:tcBorders>
              <w:top w:val="nil"/>
              <w:left w:val="nil"/>
              <w:bottom w:val="nil"/>
              <w:right w:val="single" w:sz="8" w:space="0" w:color="000000" w:themeColor="text1"/>
            </w:tcBorders>
            <w:hideMark/>
          </w:tcPr>
          <w:p w14:paraId="25409C6D" w14:textId="722F5507" w:rsidR="00D5547E" w:rsidRPr="0084607A" w:rsidRDefault="00D5547E" w:rsidP="005F7F7E">
            <w:pPr>
              <w:rPr>
                <w:color w:val="auto"/>
              </w:rPr>
            </w:pPr>
            <w:r w:rsidRPr="0084607A">
              <w:rPr>
                <w:color w:val="auto"/>
              </w:rPr>
              <w:t>No</w:t>
            </w:r>
          </w:p>
        </w:tc>
      </w:tr>
      <w:tr w:rsidR="00D5547E" w14:paraId="25409C71" w14:textId="77777777" w:rsidTr="667B96F9">
        <w:tc>
          <w:tcPr>
            <w:tcW w:w="2438" w:type="dxa"/>
            <w:gridSpan w:val="2"/>
            <w:tcBorders>
              <w:top w:val="nil"/>
              <w:left w:val="single" w:sz="8" w:space="0" w:color="000000" w:themeColor="text1"/>
              <w:bottom w:val="nil"/>
              <w:right w:val="nil"/>
            </w:tcBorders>
            <w:hideMark/>
          </w:tcPr>
          <w:p w14:paraId="25409C6F"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hemeColor="text1"/>
            </w:tcBorders>
            <w:hideMark/>
          </w:tcPr>
          <w:p w14:paraId="25409C70" w14:textId="770D07AF" w:rsidR="00D5547E" w:rsidRPr="001356F1" w:rsidRDefault="11E8A91F" w:rsidP="005F7F7E">
            <w:r>
              <w:t xml:space="preserve">Councillor </w:t>
            </w:r>
            <w:r w:rsidR="64F22111">
              <w:t xml:space="preserve">Susan Brown, Cabinet Member for Inclusive </w:t>
            </w:r>
            <w:proofErr w:type="gramStart"/>
            <w:r w:rsidR="64F22111">
              <w:t>Economy</w:t>
            </w:r>
            <w:proofErr w:type="gramEnd"/>
            <w:r w:rsidR="64F22111">
              <w:t xml:space="preserve"> and Partnerships</w:t>
            </w:r>
            <w:r>
              <w:t xml:space="preserve"> </w:t>
            </w:r>
          </w:p>
        </w:tc>
      </w:tr>
      <w:tr w:rsidR="0080749A" w14:paraId="25409C74" w14:textId="77777777" w:rsidTr="667B96F9">
        <w:tc>
          <w:tcPr>
            <w:tcW w:w="2438" w:type="dxa"/>
            <w:gridSpan w:val="2"/>
            <w:tcBorders>
              <w:top w:val="nil"/>
              <w:left w:val="single" w:sz="8" w:space="0" w:color="000000" w:themeColor="text1"/>
              <w:bottom w:val="nil"/>
              <w:right w:val="nil"/>
            </w:tcBorders>
          </w:tcPr>
          <w:p w14:paraId="25409C7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hemeColor="text1"/>
            </w:tcBorders>
          </w:tcPr>
          <w:p w14:paraId="25409C73" w14:textId="59D2DE90" w:rsidR="0080749A" w:rsidRPr="001356F1" w:rsidRDefault="29796A85" w:rsidP="096051F0">
            <w:pPr>
              <w:spacing w:line="259" w:lineRule="auto"/>
            </w:pPr>
            <w:r>
              <w:t>Enable an Inclusive Economy; Pursue a Zero Carbon Oxford</w:t>
            </w:r>
          </w:p>
        </w:tc>
      </w:tr>
      <w:tr w:rsidR="00D5547E" w14:paraId="25409C77" w14:textId="77777777" w:rsidTr="667B96F9">
        <w:tc>
          <w:tcPr>
            <w:tcW w:w="2438" w:type="dxa"/>
            <w:gridSpan w:val="2"/>
            <w:tcBorders>
              <w:top w:val="nil"/>
              <w:left w:val="single" w:sz="8" w:space="0" w:color="000000" w:themeColor="text1"/>
              <w:bottom w:val="nil"/>
              <w:right w:val="nil"/>
            </w:tcBorders>
            <w:hideMark/>
          </w:tcPr>
          <w:p w14:paraId="25409C75"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hemeColor="text1"/>
            </w:tcBorders>
            <w:hideMark/>
          </w:tcPr>
          <w:p w14:paraId="25409C76" w14:textId="551864EE" w:rsidR="00D5547E" w:rsidRPr="001356F1" w:rsidRDefault="1514D7C4" w:rsidP="096051F0">
            <w:pPr>
              <w:spacing w:line="259" w:lineRule="auto"/>
            </w:pPr>
            <w:r>
              <w:t>Oxford Economic Strategy 2022; City Centre Action Plan 2022</w:t>
            </w:r>
          </w:p>
        </w:tc>
      </w:tr>
      <w:tr w:rsidR="005F7F7E" w:rsidRPr="00975B07" w14:paraId="25409C79" w14:textId="77777777" w:rsidTr="667B96F9">
        <w:trPr>
          <w:trHeight w:val="413"/>
        </w:trPr>
        <w:tc>
          <w:tcPr>
            <w:tcW w:w="8845" w:type="dxa"/>
            <w:gridSpan w:val="3"/>
            <w:tcBorders>
              <w:bottom w:val="single" w:sz="8" w:space="0" w:color="000000" w:themeColor="text1"/>
            </w:tcBorders>
          </w:tcPr>
          <w:p w14:paraId="25409C78" w14:textId="1BC99D94" w:rsidR="005F7F7E" w:rsidRPr="00975B07" w:rsidRDefault="01F953A4" w:rsidP="00821AAF">
            <w:r w:rsidRPr="667B96F9">
              <w:rPr>
                <w:rStyle w:val="Firstpagetablebold"/>
              </w:rPr>
              <w:t>Recommendation(s):</w:t>
            </w:r>
            <w:r w:rsidR="51C9B8A8" w:rsidRPr="667B96F9">
              <w:rPr>
                <w:rStyle w:val="Firstpagetablebold"/>
              </w:rPr>
              <w:t xml:space="preserve"> </w:t>
            </w:r>
            <w:r w:rsidRPr="667B96F9">
              <w:rPr>
                <w:rStyle w:val="Firstpagetablebold"/>
              </w:rPr>
              <w:t xml:space="preserve">That the </w:t>
            </w:r>
            <w:r w:rsidR="5CFEAA3A" w:rsidRPr="667B96F9">
              <w:rPr>
                <w:rStyle w:val="Firstpagetablebold"/>
              </w:rPr>
              <w:t>Committee</w:t>
            </w:r>
            <w:r w:rsidRPr="667B96F9">
              <w:rPr>
                <w:rStyle w:val="Firstpagetablebold"/>
              </w:rPr>
              <w:t xml:space="preserve"> resolves to:</w:t>
            </w:r>
          </w:p>
        </w:tc>
      </w:tr>
      <w:tr w:rsidR="0030208D" w:rsidRPr="00975B07" w14:paraId="25409C7C" w14:textId="77777777" w:rsidTr="667B96F9">
        <w:trPr>
          <w:trHeight w:val="283"/>
        </w:trPr>
        <w:tc>
          <w:tcPr>
            <w:tcW w:w="426" w:type="dxa"/>
            <w:tcBorders>
              <w:top w:val="single" w:sz="8" w:space="0" w:color="000000" w:themeColor="text1"/>
              <w:left w:val="single" w:sz="8" w:space="0" w:color="000000" w:themeColor="text1"/>
              <w:bottom w:val="single" w:sz="4" w:space="0" w:color="auto"/>
              <w:right w:val="nil"/>
            </w:tcBorders>
          </w:tcPr>
          <w:p w14:paraId="25409C7A" w14:textId="77777777" w:rsidR="0030208D" w:rsidRPr="00975B07" w:rsidRDefault="00046D2B" w:rsidP="004A6D2F">
            <w:r w:rsidRPr="00975B07">
              <w:t>1.</w:t>
            </w:r>
          </w:p>
        </w:tc>
        <w:tc>
          <w:tcPr>
            <w:tcW w:w="8419" w:type="dxa"/>
            <w:gridSpan w:val="2"/>
            <w:tcBorders>
              <w:top w:val="single" w:sz="8" w:space="0" w:color="000000" w:themeColor="text1"/>
              <w:left w:val="nil"/>
              <w:bottom w:val="single" w:sz="4" w:space="0" w:color="auto"/>
              <w:right w:val="single" w:sz="8" w:space="0" w:color="000000" w:themeColor="text1"/>
            </w:tcBorders>
            <w:shd w:val="clear" w:color="auto" w:fill="auto"/>
          </w:tcPr>
          <w:p w14:paraId="25409C7B" w14:textId="10338D2B" w:rsidR="0030208D" w:rsidRPr="001356F1" w:rsidRDefault="00587C90" w:rsidP="002069B3">
            <w:r>
              <w:rPr>
                <w:rStyle w:val="Firstpagetablebold"/>
              </w:rPr>
              <w:t xml:space="preserve">Note and comment on </w:t>
            </w:r>
            <w:r w:rsidRPr="00587C90">
              <w:rPr>
                <w:rStyle w:val="Firstpagetablebold"/>
                <w:b w:val="0"/>
                <w:bCs/>
              </w:rPr>
              <w:t>the report.</w:t>
            </w:r>
          </w:p>
        </w:tc>
      </w:tr>
    </w:tbl>
    <w:p w14:paraId="25409C89"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5409C8B" w14:textId="77777777" w:rsidTr="00C56C1F">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409C8A" w14:textId="77777777" w:rsidR="00966D42" w:rsidRPr="00975B07" w:rsidRDefault="00966D42" w:rsidP="00263EA3">
            <w:pPr>
              <w:jc w:val="center"/>
            </w:pPr>
            <w:r w:rsidRPr="00745BF0">
              <w:rPr>
                <w:rStyle w:val="Firstpagetablebold"/>
              </w:rPr>
              <w:t>Appendices</w:t>
            </w:r>
          </w:p>
        </w:tc>
      </w:tr>
      <w:tr w:rsidR="00ED5860" w:rsidRPr="00975B07" w14:paraId="25409C8E" w14:textId="77777777" w:rsidTr="00C56C1F">
        <w:tc>
          <w:tcPr>
            <w:tcW w:w="2438" w:type="dxa"/>
            <w:tcBorders>
              <w:top w:val="single" w:sz="8" w:space="0" w:color="000000" w:themeColor="text1"/>
              <w:left w:val="single" w:sz="8" w:space="0" w:color="000000" w:themeColor="text1"/>
              <w:bottom w:val="single" w:sz="4" w:space="0" w:color="auto"/>
              <w:right w:val="nil"/>
            </w:tcBorders>
            <w:shd w:val="clear" w:color="auto" w:fill="auto"/>
          </w:tcPr>
          <w:p w14:paraId="25409C8C" w14:textId="77777777" w:rsidR="00ED5860" w:rsidRPr="00975B07" w:rsidRDefault="00ED5860" w:rsidP="004A6D2F">
            <w:r w:rsidRPr="00975B07">
              <w:t>Appendix 1</w:t>
            </w:r>
          </w:p>
        </w:tc>
        <w:tc>
          <w:tcPr>
            <w:tcW w:w="6406" w:type="dxa"/>
            <w:tcBorders>
              <w:top w:val="single" w:sz="8" w:space="0" w:color="000000" w:themeColor="text1"/>
              <w:left w:val="nil"/>
              <w:bottom w:val="single" w:sz="4" w:space="0" w:color="auto"/>
              <w:right w:val="single" w:sz="8" w:space="0" w:color="000000" w:themeColor="text1"/>
            </w:tcBorders>
          </w:tcPr>
          <w:p w14:paraId="25409C8D" w14:textId="199BE6BB" w:rsidR="00ED5860" w:rsidRPr="001356F1" w:rsidRDefault="1B7B6E28" w:rsidP="004A6D2F">
            <w:r w:rsidRPr="00F944DB">
              <w:t>Recommendations of the Tourism Management Review Group – April 2024 Update</w:t>
            </w:r>
          </w:p>
        </w:tc>
      </w:tr>
    </w:tbl>
    <w:p w14:paraId="25409C98" w14:textId="77777777" w:rsidR="0040736F" w:rsidRPr="001356F1" w:rsidRDefault="00F66DCA" w:rsidP="004A6D2F">
      <w:pPr>
        <w:pStyle w:val="Heading1"/>
      </w:pPr>
      <w:r>
        <w:t>Introduction and b</w:t>
      </w:r>
      <w:r w:rsidR="00151888">
        <w:t>ackground</w:t>
      </w:r>
      <w:r w:rsidR="00404032">
        <w:t xml:space="preserve"> </w:t>
      </w:r>
    </w:p>
    <w:p w14:paraId="09F198BA" w14:textId="5E9F1D22" w:rsidR="68773802" w:rsidRDefault="68773802" w:rsidP="00E0242D">
      <w:pPr>
        <w:pStyle w:val="bParagraphtext"/>
        <w:jc w:val="both"/>
        <w:rPr>
          <w:rFonts w:eastAsia="Arial" w:cs="Arial"/>
          <w:color w:val="000000" w:themeColor="text1"/>
        </w:rPr>
      </w:pPr>
      <w:r w:rsidRPr="096051F0">
        <w:t xml:space="preserve">On 29 May 20219, the Tourism Review Group’s report and recommendations were submitted to Cabinet and responses agreed: </w:t>
      </w:r>
      <w:hyperlink r:id="rId11">
        <w:r w:rsidRPr="096051F0">
          <w:rPr>
            <w:rStyle w:val="Hyperlink"/>
          </w:rPr>
          <w:t>29 May 2019.</w:t>
        </w:r>
      </w:hyperlink>
      <w:r w:rsidRPr="096051F0">
        <w:t xml:space="preserve"> Of the 21 recommendations, 10 were agreed, 10 were agreed in part and 1 was not agreed – the final report and responses to the recommendations are included in the link above.</w:t>
      </w:r>
    </w:p>
    <w:p w14:paraId="216332B1" w14:textId="04074FE5" w:rsidR="68773802" w:rsidRDefault="68773802" w:rsidP="00E0242D">
      <w:pPr>
        <w:pStyle w:val="bParagraphtext"/>
        <w:spacing w:line="259" w:lineRule="auto"/>
        <w:jc w:val="both"/>
        <w:rPr>
          <w:rFonts w:eastAsia="Arial" w:cs="Arial"/>
          <w:color w:val="000000" w:themeColor="text1"/>
        </w:rPr>
      </w:pPr>
      <w:r w:rsidRPr="096051F0">
        <w:t xml:space="preserve">On 6 October 2020, a progress report was submitted back to Scrutiny Committee – </w:t>
      </w:r>
      <w:hyperlink r:id="rId12">
        <w:r w:rsidRPr="096051F0">
          <w:rPr>
            <w:rStyle w:val="Hyperlink"/>
          </w:rPr>
          <w:t>06 October 2020.</w:t>
        </w:r>
      </w:hyperlink>
      <w:r w:rsidRPr="096051F0">
        <w:t xml:space="preserve"> The report and action plan update are accessible via the previous link; the cover report provided some narrative around COVID-19 and the impact on the visitor economy; the action plan update provided an update on all of the 21 recommendations as at September 2020.</w:t>
      </w:r>
    </w:p>
    <w:p w14:paraId="61CD7B7C" w14:textId="3217E964" w:rsidR="6BA366A7" w:rsidRDefault="6BA366A7" w:rsidP="00E0242D">
      <w:pPr>
        <w:pStyle w:val="bParagraphtext"/>
        <w:jc w:val="both"/>
      </w:pPr>
      <w:r w:rsidRPr="096051F0">
        <w:t>On 8 September 2021, a f</w:t>
      </w:r>
      <w:r w:rsidR="68773802" w:rsidRPr="096051F0">
        <w:t xml:space="preserve">urther progress report </w:t>
      </w:r>
      <w:r w:rsidR="302AB01B" w:rsidRPr="096051F0">
        <w:t xml:space="preserve">was submitted </w:t>
      </w:r>
      <w:r w:rsidR="68773802" w:rsidRPr="096051F0">
        <w:t xml:space="preserve">to Scrutiny Committee – </w:t>
      </w:r>
      <w:hyperlink r:id="rId13">
        <w:r w:rsidR="68773802" w:rsidRPr="096051F0">
          <w:rPr>
            <w:rStyle w:val="Hyperlink"/>
          </w:rPr>
          <w:t>08 September 2021</w:t>
        </w:r>
        <w:r w:rsidR="7405B5F0" w:rsidRPr="096051F0">
          <w:rPr>
            <w:rStyle w:val="Hyperlink"/>
          </w:rPr>
          <w:t>.</w:t>
        </w:r>
      </w:hyperlink>
      <w:r w:rsidR="7405B5F0" w:rsidRPr="096051F0">
        <w:t xml:space="preserve"> </w:t>
      </w:r>
      <w:r w:rsidR="68773802" w:rsidRPr="096051F0">
        <w:t xml:space="preserve">The report and action plan update are accessible via the above </w:t>
      </w:r>
      <w:r w:rsidR="68773802" w:rsidRPr="096051F0">
        <w:lastRenderedPageBreak/>
        <w:t>link; the cover report provided some narrative around COVID-19</w:t>
      </w:r>
      <w:r w:rsidR="72ABB6D0" w:rsidRPr="096051F0">
        <w:t xml:space="preserve"> and the impact on the visitor economy</w:t>
      </w:r>
      <w:r w:rsidR="68773802" w:rsidRPr="096051F0">
        <w:t>; the action plan update provided an update on all of the 21 recommendations as at June 202</w:t>
      </w:r>
      <w:r w:rsidR="503B5655" w:rsidRPr="096051F0">
        <w:t>1.</w:t>
      </w:r>
    </w:p>
    <w:p w14:paraId="4A731364" w14:textId="33ABBB55" w:rsidR="503B5655" w:rsidRDefault="503B5655" w:rsidP="00E0242D">
      <w:pPr>
        <w:pStyle w:val="bParagraphtext"/>
        <w:jc w:val="both"/>
        <w:rPr>
          <w:rFonts w:eastAsia="Arial" w:cs="Arial"/>
          <w:color w:val="000000" w:themeColor="text1"/>
        </w:rPr>
      </w:pPr>
      <w:r w:rsidRPr="096051F0">
        <w:t>At that September 2021 meeting,</w:t>
      </w:r>
      <w:r w:rsidR="68773802" w:rsidRPr="096051F0">
        <w:t xml:space="preserve"> the Scrutiny Committee made an additional 4 recommendations. These were accompanied by a cover report. The report and recommendations were submitted to Cabinet at its meeting on </w:t>
      </w:r>
      <w:hyperlink r:id="rId14">
        <w:r w:rsidR="68773802" w:rsidRPr="096051F0">
          <w:rPr>
            <w:rStyle w:val="Hyperlink"/>
          </w:rPr>
          <w:t>15 December 2021</w:t>
        </w:r>
      </w:hyperlink>
      <w:r w:rsidR="68773802" w:rsidRPr="096051F0">
        <w:t xml:space="preserve"> – all four recommendations were agreed:</w:t>
      </w:r>
    </w:p>
    <w:p w14:paraId="55CD4870" w14:textId="7935BF50" w:rsidR="68773802" w:rsidRDefault="68773802" w:rsidP="00E0242D">
      <w:pPr>
        <w:pStyle w:val="bParagraphtext"/>
        <w:numPr>
          <w:ilvl w:val="1"/>
          <w:numId w:val="18"/>
        </w:numPr>
        <w:jc w:val="both"/>
        <w:rPr>
          <w:rFonts w:eastAsia="Arial" w:cs="Arial"/>
          <w:color w:val="000000" w:themeColor="text1"/>
        </w:rPr>
      </w:pPr>
      <w:r w:rsidRPr="096051F0">
        <w:t>That the Council plans how it will work with those responsible for tourist travel to Oxford more environmentally sustainable.</w:t>
      </w:r>
    </w:p>
    <w:p w14:paraId="4714822D" w14:textId="3EC5A59D" w:rsidR="68773802" w:rsidRDefault="68773802" w:rsidP="00E0242D">
      <w:pPr>
        <w:pStyle w:val="bParagraphtext"/>
        <w:numPr>
          <w:ilvl w:val="1"/>
          <w:numId w:val="18"/>
        </w:numPr>
        <w:jc w:val="both"/>
        <w:rPr>
          <w:rFonts w:eastAsia="Arial" w:cs="Arial"/>
          <w:color w:val="000000" w:themeColor="text1"/>
        </w:rPr>
      </w:pPr>
      <w:r w:rsidRPr="096051F0">
        <w:t>That the Council revives its partnership with City Centre shops to provide a toilet scheme.</w:t>
      </w:r>
    </w:p>
    <w:p w14:paraId="16A9FDAF" w14:textId="44A332EE" w:rsidR="68773802" w:rsidRDefault="68773802" w:rsidP="00E0242D">
      <w:pPr>
        <w:pStyle w:val="bParagraphtext"/>
        <w:numPr>
          <w:ilvl w:val="1"/>
          <w:numId w:val="18"/>
        </w:numPr>
        <w:jc w:val="both"/>
        <w:rPr>
          <w:rFonts w:eastAsia="Arial" w:cs="Arial"/>
          <w:color w:val="000000" w:themeColor="text1"/>
        </w:rPr>
      </w:pPr>
      <w:r w:rsidRPr="096051F0">
        <w:t xml:space="preserve">That the Council in its work with partners, pursues a renewed focus on attracting domestic tourists to </w:t>
      </w:r>
      <w:proofErr w:type="gramStart"/>
      <w:r w:rsidRPr="096051F0">
        <w:t>Oxford</w:t>
      </w:r>
      <w:proofErr w:type="gramEnd"/>
    </w:p>
    <w:p w14:paraId="5646BE68" w14:textId="32E22471" w:rsidR="68773802" w:rsidRDefault="68773802" w:rsidP="00E0242D">
      <w:pPr>
        <w:pStyle w:val="bParagraphtext"/>
        <w:numPr>
          <w:ilvl w:val="1"/>
          <w:numId w:val="18"/>
        </w:numPr>
        <w:jc w:val="both"/>
        <w:rPr>
          <w:rFonts w:eastAsia="Arial" w:cs="Arial"/>
          <w:color w:val="000000" w:themeColor="text1"/>
        </w:rPr>
      </w:pPr>
      <w:r w:rsidRPr="096051F0">
        <w:t xml:space="preserve">That the Council reviews and updates its responses to the recommendations made by the Tourism Review Group </w:t>
      </w:r>
      <w:proofErr w:type="gramStart"/>
      <w:r w:rsidRPr="096051F0">
        <w:t>in light of</w:t>
      </w:r>
      <w:proofErr w:type="gramEnd"/>
      <w:r w:rsidRPr="096051F0">
        <w:t xml:space="preserve"> the changes of Covid and the proposed Oxford Economic Strategy and City Centre Action Plan.</w:t>
      </w:r>
    </w:p>
    <w:p w14:paraId="536F6CFC" w14:textId="587450AF" w:rsidR="68773802" w:rsidRDefault="68773802" w:rsidP="00E0242D">
      <w:pPr>
        <w:pStyle w:val="bParagraphtext"/>
        <w:jc w:val="both"/>
      </w:pPr>
      <w:r w:rsidRPr="096051F0">
        <w:t>There has been no further update to the Scrutiny Committee since the report of 8 September 2021. But the Committee agreed earlier this year to request an update</w:t>
      </w:r>
      <w:r w:rsidR="222CB3BE" w:rsidRPr="096051F0">
        <w:t xml:space="preserve">, which is now supplied in this report, which contains an overview of the current approach to tourism in this report and an itemised response to the 21 + 4 recommendations in </w:t>
      </w:r>
      <w:r w:rsidR="222CB3BE" w:rsidRPr="096051F0">
        <w:rPr>
          <w:b/>
          <w:bCs/>
        </w:rPr>
        <w:t>Appendix 1</w:t>
      </w:r>
      <w:r w:rsidRPr="096051F0">
        <w:t>.</w:t>
      </w:r>
    </w:p>
    <w:p w14:paraId="6B4E52B1" w14:textId="334EFF28" w:rsidR="2E26C851" w:rsidRDefault="2E26C851" w:rsidP="096051F0">
      <w:pPr>
        <w:pStyle w:val="Heading1"/>
      </w:pPr>
      <w:r w:rsidRPr="096051F0">
        <w:t>Overview of tourism in Oxford</w:t>
      </w:r>
    </w:p>
    <w:p w14:paraId="5E442026" w14:textId="1D6FFAB9" w:rsidR="2E26C851" w:rsidRDefault="40FBBB48" w:rsidP="00E0242D">
      <w:pPr>
        <w:pStyle w:val="bParagraphtext"/>
        <w:jc w:val="both"/>
        <w:rPr>
          <w:color w:val="000000" w:themeColor="text1"/>
        </w:rPr>
      </w:pPr>
      <w:r>
        <w:t xml:space="preserve">Current data about the tourism sector relates to </w:t>
      </w:r>
      <w:r w:rsidR="638209EA">
        <w:t>2022 and</w:t>
      </w:r>
      <w:r>
        <w:t xml:space="preserve"> shows significant progress in recovering from the impacts of the pandemic.</w:t>
      </w:r>
      <w:r w:rsidR="73FCCBF2">
        <w:t xml:space="preserve"> The Economic Impact Report for Tourism in Oxfordshire (2022) produced by Experience Oxfordshire</w:t>
      </w:r>
      <w:r w:rsidR="3C3E3AC9">
        <w:t xml:space="preserve"> </w:t>
      </w:r>
      <w:r w:rsidR="73FCCBF2">
        <w:t>Local</w:t>
      </w:r>
      <w:r w:rsidR="547FD91F">
        <w:t xml:space="preserve"> </w:t>
      </w:r>
      <w:r w:rsidR="73FCCBF2">
        <w:t>Visitor</w:t>
      </w:r>
      <w:r w:rsidR="174EBE00">
        <w:t xml:space="preserve"> </w:t>
      </w:r>
      <w:r w:rsidR="73FCCBF2">
        <w:t xml:space="preserve">Economy Partnership (LVEP) demonstrated increases in both visitor numbers and related expenditure in 2022 compared to 2021, with numbers of trips to the county rising by 14% to 26.5 million.  </w:t>
      </w:r>
    </w:p>
    <w:p w14:paraId="19C190FA" w14:textId="013D90F0" w:rsidR="045C6EE9" w:rsidRDefault="045C6EE9" w:rsidP="00E0242D">
      <w:pPr>
        <w:pStyle w:val="ListParagraph"/>
        <w:jc w:val="both"/>
        <w:rPr>
          <w:color w:val="000000" w:themeColor="text1"/>
        </w:rPr>
      </w:pPr>
      <w:r>
        <w:t xml:space="preserve">Spend in nominal terms was up 38% at £2.17 billion and 2022 saw a rise in the number of jobs supported by the visitor economy with some 10% of the county’s workforce employed within the sector. Business visits and events showed a significant increase (following a severe dip in numbers over the previous two years) with business tourism accounting for 27% in 2022 compared to only 7% of trips taken to Oxfordshire in 2021.  </w:t>
      </w:r>
    </w:p>
    <w:p w14:paraId="1CC10BE9" w14:textId="269A5E00" w:rsidR="045C6EE9" w:rsidRDefault="045C6EE9" w:rsidP="00E0242D">
      <w:pPr>
        <w:pStyle w:val="ListParagraph"/>
        <w:jc w:val="both"/>
        <w:rPr>
          <w:color w:val="000000" w:themeColor="text1"/>
        </w:rPr>
      </w:pPr>
      <w:r>
        <w:t>Oxford was close second to Cherwell of the Oxfordshire districts in terms of proportion of visitor trips during 2022 and accounted for the greatest proportion of visitor spend (40%). Overnight stays in Oxford were above national average length of 3 nights in 2022, with Oxford had 6.2 nights for overseas visitors and 2.6 for domestic visitors.</w:t>
      </w:r>
      <w:r w:rsidR="2E26C851">
        <w:t xml:space="preserve"> In 2022, the national average duration of overnight trips in England was 3 nights. Oxford had 6.2 nights for overseas visitors and 2.6 for domestic visitors. There is an equal split in visitor numbers domestically and internationally. No figures are yet available for 2023 but are expected to be more buoyant, as the overseas visitors started to return after the pandemic.</w:t>
      </w:r>
    </w:p>
    <w:p w14:paraId="0E65997C" w14:textId="73AD1BA8" w:rsidR="1A382E98" w:rsidRDefault="1A382E98" w:rsidP="00E0242D">
      <w:pPr>
        <w:pStyle w:val="ListParagraph"/>
        <w:jc w:val="both"/>
        <w:rPr>
          <w:color w:val="000000" w:themeColor="text1"/>
        </w:rPr>
      </w:pPr>
      <w:r>
        <w:t xml:space="preserve">However, despite these improvements we know there is still work to do to return to pre pandemic levels and ongoing challenges. In 2022 Oxfordshire were still 14% down on the number of trips taken in the county when compared to 2019, with the </w:t>
      </w:r>
      <w:r>
        <w:lastRenderedPageBreak/>
        <w:t xml:space="preserve">sector generating 17% less value in real terms. This has impacted on businesses’ ability to operate, </w:t>
      </w:r>
      <w:proofErr w:type="gramStart"/>
      <w:r>
        <w:t>develop</w:t>
      </w:r>
      <w:proofErr w:type="gramEnd"/>
      <w:r>
        <w:t xml:space="preserve"> and grow.  </w:t>
      </w:r>
    </w:p>
    <w:p w14:paraId="1AF73CD5" w14:textId="71BEF3AA" w:rsidR="1A382E98" w:rsidRDefault="1A382E98" w:rsidP="00E0242D">
      <w:pPr>
        <w:pStyle w:val="ListParagraph"/>
        <w:jc w:val="both"/>
        <w:rPr>
          <w:color w:val="000000" w:themeColor="text1"/>
        </w:rPr>
      </w:pPr>
      <w:r>
        <w:t>Employment within the sector has grown by 28% year-on-year, but again that’s still 17% down, in real term value, on 2019 and while spend is growing, the cost of living increased sharply across the UK in 2022 and the average annual inflation rate for the year was 8% reducing the real terms value of this growth.</w:t>
      </w:r>
    </w:p>
    <w:p w14:paraId="23134492" w14:textId="6E6EDC54" w:rsidR="1A382E98" w:rsidRDefault="1A382E98" w:rsidP="096051F0">
      <w:pPr>
        <w:pStyle w:val="Heading1"/>
        <w:rPr>
          <w:color w:val="000000" w:themeColor="text1"/>
        </w:rPr>
      </w:pPr>
      <w:r w:rsidRPr="096051F0">
        <w:t xml:space="preserve">How the Council has contributed to progress relating to </w:t>
      </w:r>
      <w:proofErr w:type="gramStart"/>
      <w:r w:rsidRPr="096051F0">
        <w:t>tourism</w:t>
      </w:r>
      <w:proofErr w:type="gramEnd"/>
    </w:p>
    <w:p w14:paraId="54342998" w14:textId="4EBD825F" w:rsidR="1A382E98" w:rsidRDefault="1A382E98" w:rsidP="00E0242D">
      <w:pPr>
        <w:pStyle w:val="bParagraphtext"/>
        <w:jc w:val="both"/>
        <w:rPr>
          <w:color w:val="000000" w:themeColor="text1"/>
        </w:rPr>
      </w:pPr>
      <w:r>
        <w:t>The Council has made progress on tourism as part of both the Oxford Economic Strategy and City Centre Action Plan including work with key partners in the following areas:</w:t>
      </w:r>
    </w:p>
    <w:p w14:paraId="2D0E10DF" w14:textId="7C75F49F" w:rsidR="2654449C" w:rsidRDefault="2654449C" w:rsidP="00E0242D">
      <w:pPr>
        <w:pStyle w:val="bParagraphtext"/>
        <w:numPr>
          <w:ilvl w:val="1"/>
          <w:numId w:val="18"/>
        </w:numPr>
        <w:jc w:val="both"/>
        <w:rPr>
          <w:color w:val="000000" w:themeColor="text1"/>
        </w:rPr>
      </w:pPr>
      <w:r>
        <w:t>C</w:t>
      </w:r>
      <w:r w:rsidR="03EDCDE1">
        <w:t>ontinu</w:t>
      </w:r>
      <w:r w:rsidR="74BCD4F1">
        <w:t>ing</w:t>
      </w:r>
      <w:r w:rsidR="03EDCDE1">
        <w:t xml:space="preserve"> to work with Oxfordshire County Council (the highway authority) to improve the way people access and move around the city, for example by supporting the decision to implement trial traffic filters in 2022; and establishing an affordable combined parking-and-bus ticket from Park &amp; Rides on a permanent basis in 2023.</w:t>
      </w:r>
    </w:p>
    <w:p w14:paraId="0AF38E35" w14:textId="2E434666" w:rsidR="3F7B6DB6" w:rsidRDefault="34C2C623" w:rsidP="00E0242D">
      <w:pPr>
        <w:pStyle w:val="bParagraphtext"/>
        <w:numPr>
          <w:ilvl w:val="1"/>
          <w:numId w:val="18"/>
        </w:numPr>
        <w:jc w:val="both"/>
        <w:rPr>
          <w:color w:val="000000" w:themeColor="text1"/>
        </w:rPr>
      </w:pPr>
      <w:r w:rsidRPr="667B96F9">
        <w:rPr>
          <w:color w:val="000000" w:themeColor="text1"/>
        </w:rPr>
        <w:t>Starting a new joint project with the County Council called the Central Oxfordshire Movement &amp; Place Framework, which is seeking to create a blueprint for public realm improvements in the city, and which is incorporating a co</w:t>
      </w:r>
      <w:r w:rsidR="2880A3EB" w:rsidRPr="667B96F9">
        <w:rPr>
          <w:color w:val="000000" w:themeColor="text1"/>
        </w:rPr>
        <w:t>ach parking strategy.</w:t>
      </w:r>
    </w:p>
    <w:p w14:paraId="669DC2EF" w14:textId="3791DC59" w:rsidR="1D37789B" w:rsidRDefault="5B5C07C9" w:rsidP="00E0242D">
      <w:pPr>
        <w:pStyle w:val="bParagraphtext"/>
        <w:numPr>
          <w:ilvl w:val="1"/>
          <w:numId w:val="18"/>
        </w:numPr>
        <w:jc w:val="both"/>
        <w:rPr>
          <w:color w:val="000000" w:themeColor="text1"/>
        </w:rPr>
      </w:pPr>
      <w:r>
        <w:t>Delivering tangible improvements to the public realm in the city centre</w:t>
      </w:r>
      <w:r w:rsidR="497425FE">
        <w:t xml:space="preserve"> alongside the County Council,</w:t>
      </w:r>
      <w:r>
        <w:t xml:space="preserve"> </w:t>
      </w:r>
      <w:proofErr w:type="gramStart"/>
      <w:r>
        <w:t>in order to</w:t>
      </w:r>
      <w:proofErr w:type="gramEnd"/>
      <w:r>
        <w:t xml:space="preserve"> make</w:t>
      </w:r>
      <w:r w:rsidR="7F553AD0">
        <w:t xml:space="preserve"> create</w:t>
      </w:r>
      <w:r>
        <w:t xml:space="preserve"> more welcoming </w:t>
      </w:r>
      <w:r w:rsidR="0A040982">
        <w:t xml:space="preserve">places </w:t>
      </w:r>
      <w:r>
        <w:t>for all</w:t>
      </w:r>
      <w:r w:rsidR="4786F214">
        <w:t>, including tourists:</w:t>
      </w:r>
    </w:p>
    <w:p w14:paraId="0EADBA09" w14:textId="38345A9D" w:rsidR="7D8EC8DC" w:rsidRDefault="7D8EC8DC" w:rsidP="00E0242D">
      <w:pPr>
        <w:pStyle w:val="bParagraphtext"/>
        <w:numPr>
          <w:ilvl w:val="2"/>
          <w:numId w:val="18"/>
        </w:numPr>
        <w:jc w:val="both"/>
        <w:rPr>
          <w:color w:val="000000" w:themeColor="text1"/>
        </w:rPr>
      </w:pPr>
      <w:r>
        <w:t xml:space="preserve">Broad Street – two trial schemes, the latter of which has been made </w:t>
      </w:r>
      <w:proofErr w:type="gramStart"/>
      <w:r>
        <w:t>permanent</w:t>
      </w:r>
      <w:proofErr w:type="gramEnd"/>
      <w:r>
        <w:t xml:space="preserve"> </w:t>
      </w:r>
    </w:p>
    <w:p w14:paraId="69B7617D" w14:textId="2638405D" w:rsidR="7D8EC8DC" w:rsidRDefault="7D8EC8DC" w:rsidP="00E0242D">
      <w:pPr>
        <w:pStyle w:val="bParagraphtext"/>
        <w:numPr>
          <w:ilvl w:val="2"/>
          <w:numId w:val="18"/>
        </w:numPr>
        <w:jc w:val="both"/>
        <w:rPr>
          <w:color w:val="000000" w:themeColor="text1"/>
        </w:rPr>
      </w:pPr>
      <w:r>
        <w:t xml:space="preserve">A trial pedestrian-friendly scheme on Market Street (delivery in April 2024, subject to County Council decision-making) </w:t>
      </w:r>
    </w:p>
    <w:p w14:paraId="3AF96196" w14:textId="45140D61" w:rsidR="7D8EC8DC" w:rsidRDefault="7D8EC8DC" w:rsidP="00E0242D">
      <w:pPr>
        <w:pStyle w:val="bParagraphtext"/>
        <w:numPr>
          <w:ilvl w:val="2"/>
          <w:numId w:val="18"/>
        </w:numPr>
        <w:jc w:val="both"/>
        <w:rPr>
          <w:color w:val="000000" w:themeColor="text1"/>
        </w:rPr>
      </w:pPr>
      <w:r>
        <w:t xml:space="preserve">Improvements to Gloucester Green </w:t>
      </w:r>
    </w:p>
    <w:p w14:paraId="3C604AD3" w14:textId="2548F913" w:rsidR="7D8EC8DC" w:rsidRDefault="7D8EC8DC" w:rsidP="00E0242D">
      <w:pPr>
        <w:pStyle w:val="bParagraphtext"/>
        <w:numPr>
          <w:ilvl w:val="2"/>
          <w:numId w:val="18"/>
        </w:numPr>
        <w:jc w:val="both"/>
      </w:pPr>
      <w:r>
        <w:t>The permanent improvement of a pedestrian area on St Michael’s Street (delivery scheduled for 2024-25)</w:t>
      </w:r>
    </w:p>
    <w:p w14:paraId="091E6AB7" w14:textId="55562F0C" w:rsidR="00467093" w:rsidRDefault="00F75520" w:rsidP="00E0242D">
      <w:pPr>
        <w:pStyle w:val="bParagraphtext"/>
        <w:numPr>
          <w:ilvl w:val="1"/>
          <w:numId w:val="18"/>
        </w:numPr>
        <w:spacing w:line="259" w:lineRule="auto"/>
        <w:jc w:val="both"/>
      </w:pPr>
      <w:r>
        <w:t xml:space="preserve">Working with </w:t>
      </w:r>
      <w:proofErr w:type="spellStart"/>
      <w:r>
        <w:t>OxLEP</w:t>
      </w:r>
      <w:proofErr w:type="spellEnd"/>
      <w:r>
        <w:t xml:space="preserve">, assisting in the delivery of the £1.64 million COMF funded Visitor Economy Renaissance Programme (VERP) which provided grants to eligible businesses; provided nine strategic marketing campaigns; support for a dedicated business trade project; and enabled the </w:t>
      </w:r>
      <w:r w:rsidR="00B22C73">
        <w:t xml:space="preserve">creation </w:t>
      </w:r>
      <w:r>
        <w:t xml:space="preserve">of Oxfordshire’s first Destination Management Plan.  The </w:t>
      </w:r>
      <w:r w:rsidR="176C9A0F">
        <w:t>C</w:t>
      </w:r>
      <w:r>
        <w:t>ouncil w</w:t>
      </w:r>
      <w:r w:rsidR="14858C89">
        <w:t xml:space="preserve">as </w:t>
      </w:r>
      <w:r>
        <w:t>involved in assessing Visitor Economy Grants, overseeing the marketing campaigns through their</w:t>
      </w:r>
      <w:r w:rsidRPr="667B96F9">
        <w:rPr>
          <w:color w:val="auto"/>
        </w:rPr>
        <w:t xml:space="preserve"> membership on </w:t>
      </w:r>
      <w:proofErr w:type="spellStart"/>
      <w:r w:rsidRPr="667B96F9">
        <w:rPr>
          <w:color w:val="auto"/>
        </w:rPr>
        <w:t>OxLEP’s</w:t>
      </w:r>
      <w:proofErr w:type="spellEnd"/>
      <w:r w:rsidRPr="667B96F9">
        <w:rPr>
          <w:color w:val="auto"/>
        </w:rPr>
        <w:t xml:space="preserve"> Culture and Visitor Economy Subgroup, and also</w:t>
      </w:r>
      <w:r w:rsidR="00624DEC" w:rsidRPr="667B96F9">
        <w:rPr>
          <w:color w:val="auto"/>
        </w:rPr>
        <w:t xml:space="preserve"> </w:t>
      </w:r>
      <w:r w:rsidR="00624DEC" w:rsidRPr="667B96F9">
        <w:rPr>
          <w:rStyle w:val="Hyperlink"/>
          <w:color w:val="auto"/>
          <w:u w:val="none"/>
        </w:rPr>
        <w:t xml:space="preserve">being a key member of the Destination Management Plan (DMP) steering group, informing and directing </w:t>
      </w:r>
      <w:hyperlink r:id="rId15">
        <w:r w:rsidR="00624DEC" w:rsidRPr="667B96F9">
          <w:rPr>
            <w:rStyle w:val="Hyperlink"/>
          </w:rPr>
          <w:t xml:space="preserve">the plan and its </w:t>
        </w:r>
        <w:r w:rsidR="00B22C73" w:rsidRPr="667B96F9">
          <w:rPr>
            <w:rStyle w:val="Hyperlink"/>
          </w:rPr>
          <w:t>recommended actions</w:t>
        </w:r>
        <w:r w:rsidR="00BC492F" w:rsidRPr="667B96F9">
          <w:rPr>
            <w:rStyle w:val="Hyperlink"/>
          </w:rPr>
          <w:t xml:space="preserve"> to support the sector for the next five years</w:t>
        </w:r>
      </w:hyperlink>
      <w:r w:rsidR="40283FCD">
        <w:t xml:space="preserve"> (p86-265)</w:t>
      </w:r>
      <w:r w:rsidR="00BC492F">
        <w:t>. The VERP programme was identified through the Oxfordshire Economic Recovery Plan, and prior to that within</w:t>
      </w:r>
      <w:r w:rsidR="64642C8A">
        <w:t xml:space="preserve"> </w:t>
      </w:r>
      <w:r w:rsidR="43E3D692">
        <w:t>the Oxfordshire industrial strategy investment plan</w:t>
      </w:r>
      <w:r w:rsidR="00BC492F">
        <w:t>.</w:t>
      </w:r>
      <w:r w:rsidR="7186C39C">
        <w:t xml:space="preserve"> </w:t>
      </w:r>
    </w:p>
    <w:p w14:paraId="0B4A75D1" w14:textId="1A44D159" w:rsidR="00467093" w:rsidRDefault="43546E72" w:rsidP="667B96F9">
      <w:pPr>
        <w:pStyle w:val="Heading1"/>
        <w:rPr>
          <w:color w:val="000000" w:themeColor="text1"/>
        </w:rPr>
      </w:pPr>
      <w:r>
        <w:t>Looking to the future</w:t>
      </w:r>
    </w:p>
    <w:p w14:paraId="383F12D7" w14:textId="287F589C" w:rsidR="00467093" w:rsidRDefault="00BC492F" w:rsidP="00E0242D">
      <w:pPr>
        <w:pStyle w:val="ListParagraph"/>
        <w:jc w:val="both"/>
        <w:rPr>
          <w:color w:val="000000" w:themeColor="text1"/>
        </w:rPr>
      </w:pPr>
      <w:r w:rsidRPr="2B225694">
        <w:rPr>
          <w:rStyle w:val="Hyperlink"/>
          <w:color w:val="auto"/>
          <w:u w:val="none"/>
        </w:rPr>
        <w:t xml:space="preserve">Oxfordshire LEP </w:t>
      </w:r>
      <w:r w:rsidR="00C56C1F">
        <w:rPr>
          <w:rStyle w:val="Hyperlink"/>
          <w:color w:val="auto"/>
          <w:u w:val="none"/>
        </w:rPr>
        <w:t>(</w:t>
      </w:r>
      <w:proofErr w:type="spellStart"/>
      <w:r w:rsidR="00C56C1F">
        <w:rPr>
          <w:rStyle w:val="Hyperlink"/>
          <w:color w:val="auto"/>
          <w:u w:val="none"/>
        </w:rPr>
        <w:t>OxLEP</w:t>
      </w:r>
      <w:proofErr w:type="spellEnd"/>
      <w:r w:rsidR="00C56C1F">
        <w:rPr>
          <w:rStyle w:val="Hyperlink"/>
          <w:color w:val="auto"/>
          <w:u w:val="none"/>
        </w:rPr>
        <w:t xml:space="preserve">) </w:t>
      </w:r>
      <w:r w:rsidRPr="2B225694">
        <w:rPr>
          <w:rStyle w:val="Hyperlink"/>
          <w:color w:val="auto"/>
          <w:u w:val="none"/>
        </w:rPr>
        <w:t>have also since funded</w:t>
      </w:r>
      <w:r w:rsidR="00624DEC" w:rsidRPr="2B225694">
        <w:rPr>
          <w:rStyle w:val="Hyperlink"/>
          <w:color w:val="auto"/>
          <w:u w:val="none"/>
        </w:rPr>
        <w:t>, on behalf of partners including the City council,</w:t>
      </w:r>
      <w:r w:rsidRPr="2B225694">
        <w:rPr>
          <w:rStyle w:val="Hyperlink"/>
          <w:color w:val="auto"/>
          <w:u w:val="none"/>
        </w:rPr>
        <w:t xml:space="preserve"> a </w:t>
      </w:r>
      <w:r>
        <w:t xml:space="preserve">DMP Strategic Funding Options paper </w:t>
      </w:r>
      <w:r w:rsidR="00FB712C">
        <w:t>(</w:t>
      </w:r>
      <w:r w:rsidR="00C56C1F">
        <w:rPr>
          <w:i/>
          <w:iCs/>
        </w:rPr>
        <w:t xml:space="preserve">to be published by </w:t>
      </w:r>
      <w:proofErr w:type="spellStart"/>
      <w:r w:rsidR="00C56C1F">
        <w:rPr>
          <w:i/>
          <w:iCs/>
        </w:rPr>
        <w:t>OxLEP</w:t>
      </w:r>
      <w:proofErr w:type="spellEnd"/>
      <w:r w:rsidR="00C56C1F">
        <w:rPr>
          <w:i/>
          <w:iCs/>
        </w:rPr>
        <w:t xml:space="preserve"> </w:t>
      </w:r>
      <w:r w:rsidR="00C56C1F">
        <w:rPr>
          <w:i/>
          <w:iCs/>
        </w:rPr>
        <w:lastRenderedPageBreak/>
        <w:t>in due course</w:t>
      </w:r>
      <w:r w:rsidR="00FB712C">
        <w:t xml:space="preserve">) </w:t>
      </w:r>
      <w:r w:rsidR="00467093" w:rsidRPr="00FB712C">
        <w:t>to</w:t>
      </w:r>
      <w:r w:rsidR="00467093">
        <w:t xml:space="preserve"> explore ways to fund the recommended actions described in the DMP.  The Future Oxfordshire Partnership </w:t>
      </w:r>
      <w:r w:rsidR="00F75520">
        <w:t xml:space="preserve">(FOP) </w:t>
      </w:r>
      <w:r w:rsidR="00467093">
        <w:t xml:space="preserve">at its November 2023 meeting agreed to endorse the proposed </w:t>
      </w:r>
      <w:r w:rsidR="00624DEC">
        <w:t xml:space="preserve">future </w:t>
      </w:r>
      <w:r w:rsidR="00467093">
        <w:t xml:space="preserve">governance of the DMP within the FOP to enable shared support for the </w:t>
      </w:r>
      <w:r w:rsidR="00B22C73">
        <w:t xml:space="preserve">visitor economy </w:t>
      </w:r>
      <w:r w:rsidR="00467093">
        <w:t>sector across Oxfordshire.</w:t>
      </w:r>
    </w:p>
    <w:p w14:paraId="47A0BB53" w14:textId="1126B439" w:rsidR="003A4BFB" w:rsidRDefault="003A4BFB" w:rsidP="00E0242D">
      <w:pPr>
        <w:pStyle w:val="bParagraphtext"/>
        <w:spacing w:line="259" w:lineRule="auto"/>
        <w:jc w:val="both"/>
        <w:rPr>
          <w:color w:val="000000" w:themeColor="text1"/>
        </w:rPr>
      </w:pPr>
      <w:r>
        <w:t xml:space="preserve">The existing funding restrictions for tourism management are a significant handicap for the Council, so the exploration of </w:t>
      </w:r>
      <w:r w:rsidR="70B6E995">
        <w:t xml:space="preserve">options </w:t>
      </w:r>
      <w:r>
        <w:t xml:space="preserve">regarding </w:t>
      </w:r>
      <w:r w:rsidR="7F6A878A">
        <w:t>funding is an important ongoing activity.</w:t>
      </w:r>
    </w:p>
    <w:p w14:paraId="5C42E009" w14:textId="6384A2C6" w:rsidR="1A382E98" w:rsidRDefault="1A382E98" w:rsidP="00E0242D">
      <w:pPr>
        <w:pStyle w:val="bParagraphtext"/>
        <w:jc w:val="both"/>
        <w:rPr>
          <w:color w:val="000000" w:themeColor="text1"/>
        </w:rPr>
      </w:pPr>
      <w:r>
        <w:t xml:space="preserve">We hope to continue to work with partners across the county through the Future Oxfordshire Partnership (FOP) to </w:t>
      </w:r>
      <w:r w:rsidR="6D8ABAF0">
        <w:t>reduce negative impacts from tourism and improve the experience of tourists in Oxford</w:t>
      </w:r>
      <w:r w:rsidR="00467093">
        <w:t xml:space="preserve">, </w:t>
      </w:r>
      <w:r w:rsidR="00624DEC">
        <w:t>assisting delivery of</w:t>
      </w:r>
      <w:r w:rsidR="00467093">
        <w:t xml:space="preserve"> the recommended actions of the Destination Management Plan.</w:t>
      </w:r>
    </w:p>
    <w:p w14:paraId="25409CB2"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25409CB5" w14:textId="77777777" w:rsidTr="096051F0">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25409CB3" w14:textId="77777777" w:rsidR="00E87F7A" w:rsidRPr="001356F1" w:rsidRDefault="00E87F7A" w:rsidP="00A46E98">
            <w:pPr>
              <w:rPr>
                <w:b/>
              </w:rPr>
            </w:pPr>
            <w:r w:rsidRPr="001356F1">
              <w:rPr>
                <w:b/>
              </w:rPr>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25409CB4" w14:textId="3279C12F" w:rsidR="00E87F7A" w:rsidRPr="001356F1" w:rsidRDefault="4770C24F" w:rsidP="096051F0">
            <w:pPr>
              <w:spacing w:line="259" w:lineRule="auto"/>
            </w:pPr>
            <w:r>
              <w:t>Ted Maxwell</w:t>
            </w:r>
          </w:p>
        </w:tc>
      </w:tr>
      <w:tr w:rsidR="00DF093E" w:rsidRPr="001356F1" w14:paraId="25409CB8" w14:textId="77777777" w:rsidTr="096051F0">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25409CB6" w14:textId="77777777" w:rsidR="00E87F7A" w:rsidRPr="001356F1" w:rsidRDefault="00E87F7A" w:rsidP="00A46E98">
            <w:r w:rsidRPr="001356F1">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25409CB7" w14:textId="416FB6D1" w:rsidR="00E87F7A" w:rsidRPr="001356F1" w:rsidRDefault="215F31A6" w:rsidP="096051F0">
            <w:pPr>
              <w:spacing w:line="259" w:lineRule="auto"/>
            </w:pPr>
            <w:r>
              <w:t xml:space="preserve">Economy, City </w:t>
            </w:r>
            <w:proofErr w:type="gramStart"/>
            <w:r>
              <w:t>Centre</w:t>
            </w:r>
            <w:proofErr w:type="gramEnd"/>
            <w:r>
              <w:t xml:space="preserve"> and Green Transport Lead</w:t>
            </w:r>
          </w:p>
        </w:tc>
      </w:tr>
      <w:tr w:rsidR="00DF093E" w:rsidRPr="001356F1" w14:paraId="25409CBB" w14:textId="77777777" w:rsidTr="096051F0">
        <w:trPr>
          <w:cantSplit/>
          <w:trHeight w:val="396"/>
        </w:trPr>
        <w:tc>
          <w:tcPr>
            <w:tcW w:w="3969" w:type="dxa"/>
            <w:tcBorders>
              <w:top w:val="nil"/>
              <w:left w:val="single" w:sz="8" w:space="0" w:color="000000" w:themeColor="text1"/>
              <w:bottom w:val="nil"/>
              <w:right w:val="nil"/>
            </w:tcBorders>
            <w:shd w:val="clear" w:color="auto" w:fill="auto"/>
          </w:tcPr>
          <w:p w14:paraId="25409CB9"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hemeColor="text1"/>
            </w:tcBorders>
            <w:shd w:val="clear" w:color="auto" w:fill="auto"/>
          </w:tcPr>
          <w:p w14:paraId="25409CBA" w14:textId="5E96ADD7" w:rsidR="00E87F7A" w:rsidRPr="001356F1" w:rsidRDefault="3E59914B" w:rsidP="096051F0">
            <w:pPr>
              <w:spacing w:line="259" w:lineRule="auto"/>
            </w:pPr>
            <w:r>
              <w:t>Regeneration &amp; Economy</w:t>
            </w:r>
          </w:p>
        </w:tc>
      </w:tr>
      <w:tr w:rsidR="00DF093E" w:rsidRPr="001356F1" w14:paraId="25409CBE" w14:textId="77777777" w:rsidTr="096051F0">
        <w:trPr>
          <w:cantSplit/>
          <w:trHeight w:val="396"/>
        </w:trPr>
        <w:tc>
          <w:tcPr>
            <w:tcW w:w="3969" w:type="dxa"/>
            <w:tcBorders>
              <w:top w:val="nil"/>
              <w:left w:val="single" w:sz="8" w:space="0" w:color="000000" w:themeColor="text1"/>
              <w:bottom w:val="nil"/>
              <w:right w:val="nil"/>
            </w:tcBorders>
            <w:shd w:val="clear" w:color="auto" w:fill="auto"/>
          </w:tcPr>
          <w:p w14:paraId="25409CBC"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hemeColor="text1"/>
            </w:tcBorders>
            <w:shd w:val="clear" w:color="auto" w:fill="auto"/>
          </w:tcPr>
          <w:p w14:paraId="25409CBD" w14:textId="3B5E8AF2" w:rsidR="00E87F7A" w:rsidRPr="001356F1" w:rsidRDefault="5A205359" w:rsidP="00A46E98">
            <w:r>
              <w:t xml:space="preserve">01865 </w:t>
            </w:r>
            <w:r w:rsidR="21F0A659">
              <w:t>335704</w:t>
            </w:r>
          </w:p>
        </w:tc>
      </w:tr>
      <w:tr w:rsidR="005570B5" w:rsidRPr="001356F1" w14:paraId="25409CC1" w14:textId="77777777" w:rsidTr="096051F0">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25409CBF" w14:textId="77777777" w:rsidR="00E87F7A" w:rsidRPr="001356F1" w:rsidRDefault="00E87F7A" w:rsidP="00A46E98">
            <w:r w:rsidRPr="001356F1">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25409CC0" w14:textId="39F7EE6A" w:rsidR="00E87F7A" w:rsidRPr="001356F1" w:rsidRDefault="2D29CB4C" w:rsidP="00A46E98">
            <w:pPr>
              <w:rPr>
                <w:rStyle w:val="Hyperlink"/>
                <w:color w:val="000000"/>
              </w:rPr>
            </w:pPr>
            <w:r w:rsidRPr="096051F0">
              <w:rPr>
                <w:rStyle w:val="Hyperlink"/>
                <w:color w:val="000000" w:themeColor="text1"/>
              </w:rPr>
              <w:t>tmaxwell@oxford.gov.uk</w:t>
            </w:r>
          </w:p>
        </w:tc>
      </w:tr>
    </w:tbl>
    <w:p w14:paraId="25409CC2"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5409CC4" w14:textId="77777777" w:rsidTr="096051F0">
        <w:tc>
          <w:tcPr>
            <w:tcW w:w="8931" w:type="dxa"/>
            <w:tcBorders>
              <w:top w:val="single" w:sz="4" w:space="0" w:color="auto"/>
              <w:left w:val="single" w:sz="4" w:space="0" w:color="auto"/>
              <w:bottom w:val="single" w:sz="8" w:space="0" w:color="000000" w:themeColor="text1"/>
              <w:right w:val="single" w:sz="4" w:space="0" w:color="auto"/>
            </w:tcBorders>
            <w:shd w:val="clear" w:color="auto" w:fill="auto"/>
          </w:tcPr>
          <w:p w14:paraId="25409CC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25409CEF" w14:textId="77777777" w:rsidR="00821AAF" w:rsidRPr="009E51FC" w:rsidRDefault="00821AAF" w:rsidP="0093067A"/>
    <w:sectPr w:rsidR="00821AAF" w:rsidRPr="009E51FC" w:rsidSect="00B558E1">
      <w:footerReference w:type="even" r:id="rId16"/>
      <w:headerReference w:type="first" r:id="rId17"/>
      <w:footerReference w:type="first" r:id="rId18"/>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0EC2" w14:textId="77777777" w:rsidR="00572E7C" w:rsidRDefault="00572E7C" w:rsidP="004A6D2F">
      <w:r>
        <w:separator/>
      </w:r>
    </w:p>
  </w:endnote>
  <w:endnote w:type="continuationSeparator" w:id="0">
    <w:p w14:paraId="62D2C9F0" w14:textId="77777777" w:rsidR="00572E7C" w:rsidRDefault="00572E7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9CF4" w14:textId="77777777" w:rsidR="00364FAD" w:rsidRDefault="00364FAD" w:rsidP="004A6D2F">
    <w:pPr>
      <w:pStyle w:val="Footer"/>
    </w:pPr>
    <w:r>
      <w:t>Do not use a footer or page numbers.</w:t>
    </w:r>
  </w:p>
  <w:p w14:paraId="25409CF5" w14:textId="77777777" w:rsidR="00364FAD" w:rsidRDefault="00364FAD" w:rsidP="004A6D2F">
    <w:pPr>
      <w:pStyle w:val="Footer"/>
    </w:pPr>
  </w:p>
  <w:p w14:paraId="25409CF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9CF8"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C20F" w14:textId="77777777" w:rsidR="00572E7C" w:rsidRDefault="00572E7C" w:rsidP="004A6D2F">
      <w:r>
        <w:separator/>
      </w:r>
    </w:p>
  </w:footnote>
  <w:footnote w:type="continuationSeparator" w:id="0">
    <w:p w14:paraId="1928F544" w14:textId="77777777" w:rsidR="00572E7C" w:rsidRDefault="00572E7C"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9CF7" w14:textId="77777777" w:rsidR="00D5547E" w:rsidRDefault="00DD2FED" w:rsidP="00D5547E">
    <w:pPr>
      <w:pStyle w:val="Header"/>
      <w:jc w:val="right"/>
    </w:pPr>
    <w:r>
      <w:rPr>
        <w:noProof/>
        <w:color w:val="2B579A"/>
        <w:shd w:val="clear" w:color="auto" w:fill="E6E6E6"/>
      </w:rPr>
      <w:drawing>
        <wp:inline distT="0" distB="0" distL="0" distR="0" wp14:anchorId="25409CF9" wp14:editId="25409CFA">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5C03347"/>
    <w:multiLevelType w:val="hybridMultilevel"/>
    <w:tmpl w:val="FFFFFFFF"/>
    <w:lvl w:ilvl="0" w:tplc="6734D344">
      <w:start w:val="1"/>
      <w:numFmt w:val="decimal"/>
      <w:lvlText w:val="%1."/>
      <w:lvlJc w:val="left"/>
      <w:pPr>
        <w:ind w:left="720" w:hanging="360"/>
      </w:pPr>
    </w:lvl>
    <w:lvl w:ilvl="1" w:tplc="924A8320">
      <w:start w:val="1"/>
      <w:numFmt w:val="lowerLetter"/>
      <w:lvlText w:val="%2."/>
      <w:lvlJc w:val="left"/>
      <w:pPr>
        <w:ind w:left="1440" w:hanging="360"/>
      </w:pPr>
    </w:lvl>
    <w:lvl w:ilvl="2" w:tplc="F41C70A8">
      <w:start w:val="1"/>
      <w:numFmt w:val="lowerRoman"/>
      <w:lvlText w:val="%3."/>
      <w:lvlJc w:val="right"/>
      <w:pPr>
        <w:ind w:left="2160" w:hanging="180"/>
      </w:pPr>
    </w:lvl>
    <w:lvl w:ilvl="3" w:tplc="6A64EAFA">
      <w:start w:val="1"/>
      <w:numFmt w:val="decimal"/>
      <w:lvlText w:val="%4."/>
      <w:lvlJc w:val="left"/>
      <w:pPr>
        <w:ind w:left="2880" w:hanging="360"/>
      </w:pPr>
    </w:lvl>
    <w:lvl w:ilvl="4" w:tplc="0E5C4A94">
      <w:start w:val="1"/>
      <w:numFmt w:val="lowerLetter"/>
      <w:lvlText w:val="%5."/>
      <w:lvlJc w:val="left"/>
      <w:pPr>
        <w:ind w:left="3600" w:hanging="360"/>
      </w:pPr>
    </w:lvl>
    <w:lvl w:ilvl="5" w:tplc="8BBE58D6">
      <w:start w:val="1"/>
      <w:numFmt w:val="lowerRoman"/>
      <w:lvlText w:val="%6."/>
      <w:lvlJc w:val="right"/>
      <w:pPr>
        <w:ind w:left="4320" w:hanging="180"/>
      </w:pPr>
    </w:lvl>
    <w:lvl w:ilvl="6" w:tplc="7774141A">
      <w:start w:val="1"/>
      <w:numFmt w:val="decimal"/>
      <w:lvlText w:val="%7."/>
      <w:lvlJc w:val="left"/>
      <w:pPr>
        <w:ind w:left="5040" w:hanging="360"/>
      </w:pPr>
    </w:lvl>
    <w:lvl w:ilvl="7" w:tplc="90F48CC0">
      <w:start w:val="1"/>
      <w:numFmt w:val="lowerLetter"/>
      <w:lvlText w:val="%8."/>
      <w:lvlJc w:val="left"/>
      <w:pPr>
        <w:ind w:left="5760" w:hanging="360"/>
      </w:pPr>
    </w:lvl>
    <w:lvl w:ilvl="8" w:tplc="08DC30F6">
      <w:start w:val="1"/>
      <w:numFmt w:val="lowerRoman"/>
      <w:lvlText w:val="%9."/>
      <w:lvlJc w:val="right"/>
      <w:pPr>
        <w:ind w:left="648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CA1FAB"/>
    <w:multiLevelType w:val="hybridMultilevel"/>
    <w:tmpl w:val="FFFFFFFF"/>
    <w:lvl w:ilvl="0" w:tplc="97EA8196">
      <w:start w:val="1"/>
      <w:numFmt w:val="bullet"/>
      <w:lvlText w:val=""/>
      <w:lvlJc w:val="left"/>
      <w:pPr>
        <w:ind w:left="720" w:hanging="360"/>
      </w:pPr>
      <w:rPr>
        <w:rFonts w:ascii="Symbol" w:hAnsi="Symbol" w:hint="default"/>
      </w:rPr>
    </w:lvl>
    <w:lvl w:ilvl="1" w:tplc="F3E42842">
      <w:start w:val="1"/>
      <w:numFmt w:val="bullet"/>
      <w:lvlText w:val="o"/>
      <w:lvlJc w:val="left"/>
      <w:pPr>
        <w:ind w:left="1440" w:hanging="360"/>
      </w:pPr>
      <w:rPr>
        <w:rFonts w:ascii="Courier New" w:hAnsi="Courier New" w:hint="default"/>
      </w:rPr>
    </w:lvl>
    <w:lvl w:ilvl="2" w:tplc="E886F8C2">
      <w:start w:val="1"/>
      <w:numFmt w:val="bullet"/>
      <w:lvlText w:val=""/>
      <w:lvlJc w:val="left"/>
      <w:pPr>
        <w:ind w:left="2160" w:hanging="360"/>
      </w:pPr>
      <w:rPr>
        <w:rFonts w:ascii="Symbol" w:hAnsi="Symbol" w:hint="default"/>
      </w:rPr>
    </w:lvl>
    <w:lvl w:ilvl="3" w:tplc="AEC08366">
      <w:start w:val="1"/>
      <w:numFmt w:val="bullet"/>
      <w:lvlText w:val=""/>
      <w:lvlJc w:val="left"/>
      <w:pPr>
        <w:ind w:left="2880" w:hanging="360"/>
      </w:pPr>
      <w:rPr>
        <w:rFonts w:ascii="Symbol" w:hAnsi="Symbol" w:hint="default"/>
      </w:rPr>
    </w:lvl>
    <w:lvl w:ilvl="4" w:tplc="6088C444">
      <w:start w:val="1"/>
      <w:numFmt w:val="bullet"/>
      <w:lvlText w:val="o"/>
      <w:lvlJc w:val="left"/>
      <w:pPr>
        <w:ind w:left="3600" w:hanging="360"/>
      </w:pPr>
      <w:rPr>
        <w:rFonts w:ascii="Courier New" w:hAnsi="Courier New" w:hint="default"/>
      </w:rPr>
    </w:lvl>
    <w:lvl w:ilvl="5" w:tplc="EA404F98">
      <w:start w:val="1"/>
      <w:numFmt w:val="bullet"/>
      <w:lvlText w:val=""/>
      <w:lvlJc w:val="left"/>
      <w:pPr>
        <w:ind w:left="4320" w:hanging="360"/>
      </w:pPr>
      <w:rPr>
        <w:rFonts w:ascii="Wingdings" w:hAnsi="Wingdings" w:hint="default"/>
      </w:rPr>
    </w:lvl>
    <w:lvl w:ilvl="6" w:tplc="D3586262">
      <w:start w:val="1"/>
      <w:numFmt w:val="bullet"/>
      <w:lvlText w:val=""/>
      <w:lvlJc w:val="left"/>
      <w:pPr>
        <w:ind w:left="5040" w:hanging="360"/>
      </w:pPr>
      <w:rPr>
        <w:rFonts w:ascii="Symbol" w:hAnsi="Symbol" w:hint="default"/>
      </w:rPr>
    </w:lvl>
    <w:lvl w:ilvl="7" w:tplc="D0C24F26">
      <w:start w:val="1"/>
      <w:numFmt w:val="bullet"/>
      <w:lvlText w:val="o"/>
      <w:lvlJc w:val="left"/>
      <w:pPr>
        <w:ind w:left="5760" w:hanging="360"/>
      </w:pPr>
      <w:rPr>
        <w:rFonts w:ascii="Courier New" w:hAnsi="Courier New" w:hint="default"/>
      </w:rPr>
    </w:lvl>
    <w:lvl w:ilvl="8" w:tplc="C0CE57B0">
      <w:start w:val="1"/>
      <w:numFmt w:val="bullet"/>
      <w:lvlText w:val=""/>
      <w:lvlJc w:val="left"/>
      <w:pPr>
        <w:ind w:left="6480"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65A6CE"/>
    <w:multiLevelType w:val="hybridMultilevel"/>
    <w:tmpl w:val="FFFFFFFF"/>
    <w:lvl w:ilvl="0" w:tplc="39480212">
      <w:start w:val="1"/>
      <w:numFmt w:val="bullet"/>
      <w:lvlText w:val=""/>
      <w:lvlJc w:val="left"/>
      <w:pPr>
        <w:ind w:left="720" w:hanging="360"/>
      </w:pPr>
      <w:rPr>
        <w:rFonts w:ascii="Symbol" w:hAnsi="Symbol" w:hint="default"/>
      </w:rPr>
    </w:lvl>
    <w:lvl w:ilvl="1" w:tplc="E96456CC">
      <w:start w:val="1"/>
      <w:numFmt w:val="bullet"/>
      <w:lvlText w:val=""/>
      <w:lvlJc w:val="left"/>
      <w:pPr>
        <w:ind w:left="1440" w:hanging="360"/>
      </w:pPr>
      <w:rPr>
        <w:rFonts w:ascii="Symbol" w:hAnsi="Symbol" w:hint="default"/>
      </w:rPr>
    </w:lvl>
    <w:lvl w:ilvl="2" w:tplc="4A087976">
      <w:start w:val="1"/>
      <w:numFmt w:val="bullet"/>
      <w:lvlText w:val=""/>
      <w:lvlJc w:val="left"/>
      <w:pPr>
        <w:ind w:left="2160" w:hanging="360"/>
      </w:pPr>
      <w:rPr>
        <w:rFonts w:ascii="Wingdings" w:hAnsi="Wingdings" w:hint="default"/>
      </w:rPr>
    </w:lvl>
    <w:lvl w:ilvl="3" w:tplc="49641480">
      <w:start w:val="1"/>
      <w:numFmt w:val="bullet"/>
      <w:lvlText w:val=""/>
      <w:lvlJc w:val="left"/>
      <w:pPr>
        <w:ind w:left="2880" w:hanging="360"/>
      </w:pPr>
      <w:rPr>
        <w:rFonts w:ascii="Symbol" w:hAnsi="Symbol" w:hint="default"/>
      </w:rPr>
    </w:lvl>
    <w:lvl w:ilvl="4" w:tplc="C54A1C24">
      <w:start w:val="1"/>
      <w:numFmt w:val="bullet"/>
      <w:lvlText w:val="o"/>
      <w:lvlJc w:val="left"/>
      <w:pPr>
        <w:ind w:left="3600" w:hanging="360"/>
      </w:pPr>
      <w:rPr>
        <w:rFonts w:ascii="Courier New" w:hAnsi="Courier New" w:hint="default"/>
      </w:rPr>
    </w:lvl>
    <w:lvl w:ilvl="5" w:tplc="1C50B004">
      <w:start w:val="1"/>
      <w:numFmt w:val="bullet"/>
      <w:lvlText w:val=""/>
      <w:lvlJc w:val="left"/>
      <w:pPr>
        <w:ind w:left="4320" w:hanging="360"/>
      </w:pPr>
      <w:rPr>
        <w:rFonts w:ascii="Wingdings" w:hAnsi="Wingdings" w:hint="default"/>
      </w:rPr>
    </w:lvl>
    <w:lvl w:ilvl="6" w:tplc="15B64198">
      <w:start w:val="1"/>
      <w:numFmt w:val="bullet"/>
      <w:lvlText w:val=""/>
      <w:lvlJc w:val="left"/>
      <w:pPr>
        <w:ind w:left="5040" w:hanging="360"/>
      </w:pPr>
      <w:rPr>
        <w:rFonts w:ascii="Symbol" w:hAnsi="Symbol" w:hint="default"/>
      </w:rPr>
    </w:lvl>
    <w:lvl w:ilvl="7" w:tplc="D540758A">
      <w:start w:val="1"/>
      <w:numFmt w:val="bullet"/>
      <w:lvlText w:val="o"/>
      <w:lvlJc w:val="left"/>
      <w:pPr>
        <w:ind w:left="5760" w:hanging="360"/>
      </w:pPr>
      <w:rPr>
        <w:rFonts w:ascii="Courier New" w:hAnsi="Courier New" w:hint="default"/>
      </w:rPr>
    </w:lvl>
    <w:lvl w:ilvl="8" w:tplc="A4CE1EF6">
      <w:start w:val="1"/>
      <w:numFmt w:val="bullet"/>
      <w:lvlText w:val=""/>
      <w:lvlJc w:val="left"/>
      <w:pPr>
        <w:ind w:left="6480" w:hanging="360"/>
      </w:pPr>
      <w:rPr>
        <w:rFonts w:ascii="Wingdings" w:hAnsi="Wingdings" w:hint="default"/>
      </w:r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125449"/>
    <w:multiLevelType w:val="hybridMultilevel"/>
    <w:tmpl w:val="9D1E27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36ABF5"/>
    <w:multiLevelType w:val="hybridMultilevel"/>
    <w:tmpl w:val="FFFFFFFF"/>
    <w:lvl w:ilvl="0" w:tplc="274A9F00">
      <w:start w:val="1"/>
      <w:numFmt w:val="decimal"/>
      <w:lvlText w:val="%1."/>
      <w:lvlJc w:val="left"/>
      <w:pPr>
        <w:ind w:left="720" w:hanging="360"/>
      </w:pPr>
    </w:lvl>
    <w:lvl w:ilvl="1" w:tplc="49A46FB4">
      <w:start w:val="1"/>
      <w:numFmt w:val="lowerLetter"/>
      <w:lvlText w:val="%2."/>
      <w:lvlJc w:val="left"/>
      <w:pPr>
        <w:ind w:left="1440" w:hanging="360"/>
      </w:pPr>
    </w:lvl>
    <w:lvl w:ilvl="2" w:tplc="A5B80996">
      <w:start w:val="1"/>
      <w:numFmt w:val="lowerRoman"/>
      <w:lvlText w:val="%3."/>
      <w:lvlJc w:val="right"/>
      <w:pPr>
        <w:ind w:left="2160" w:hanging="180"/>
      </w:pPr>
    </w:lvl>
    <w:lvl w:ilvl="3" w:tplc="3D322698">
      <w:start w:val="1"/>
      <w:numFmt w:val="decimal"/>
      <w:lvlText w:val="%4."/>
      <w:lvlJc w:val="left"/>
      <w:pPr>
        <w:ind w:left="2880" w:hanging="360"/>
      </w:pPr>
    </w:lvl>
    <w:lvl w:ilvl="4" w:tplc="F8AA59AC">
      <w:start w:val="1"/>
      <w:numFmt w:val="lowerLetter"/>
      <w:lvlText w:val="%5."/>
      <w:lvlJc w:val="left"/>
      <w:pPr>
        <w:ind w:left="3600" w:hanging="360"/>
      </w:pPr>
    </w:lvl>
    <w:lvl w:ilvl="5" w:tplc="8D7C7A38">
      <w:start w:val="1"/>
      <w:numFmt w:val="lowerRoman"/>
      <w:lvlText w:val="%6."/>
      <w:lvlJc w:val="right"/>
      <w:pPr>
        <w:ind w:left="4320" w:hanging="180"/>
      </w:pPr>
    </w:lvl>
    <w:lvl w:ilvl="6" w:tplc="12DCC406">
      <w:start w:val="1"/>
      <w:numFmt w:val="decimal"/>
      <w:lvlText w:val="%7."/>
      <w:lvlJc w:val="left"/>
      <w:pPr>
        <w:ind w:left="5040" w:hanging="360"/>
      </w:pPr>
    </w:lvl>
    <w:lvl w:ilvl="7" w:tplc="A680E5F4">
      <w:start w:val="1"/>
      <w:numFmt w:val="lowerLetter"/>
      <w:lvlText w:val="%8."/>
      <w:lvlJc w:val="left"/>
      <w:pPr>
        <w:ind w:left="5760" w:hanging="360"/>
      </w:pPr>
    </w:lvl>
    <w:lvl w:ilvl="8" w:tplc="74460EB4">
      <w:start w:val="1"/>
      <w:numFmt w:val="lowerRoman"/>
      <w:lvlText w:val="%9."/>
      <w:lvlJc w:val="right"/>
      <w:pPr>
        <w:ind w:left="6480" w:hanging="180"/>
      </w:p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hybridMultilevel"/>
    <w:tmpl w:val="E67CE66C"/>
    <w:numStyleLink w:val="StyleNumberedLeft0cmHanging075cm"/>
  </w:abstractNum>
  <w:num w:numId="1" w16cid:durableId="1276516907">
    <w:abstractNumId w:val="16"/>
  </w:num>
  <w:num w:numId="2" w16cid:durableId="64035185">
    <w:abstractNumId w:val="18"/>
  </w:num>
  <w:num w:numId="3" w16cid:durableId="734357986">
    <w:abstractNumId w:val="13"/>
  </w:num>
  <w:num w:numId="4" w16cid:durableId="447706206">
    <w:abstractNumId w:val="32"/>
  </w:num>
  <w:num w:numId="5" w16cid:durableId="1782071880">
    <w:abstractNumId w:val="29"/>
  </w:num>
  <w:num w:numId="6" w16cid:durableId="1399784345">
    <w:abstractNumId w:val="35"/>
  </w:num>
  <w:num w:numId="7" w16cid:durableId="1478186762">
    <w:abstractNumId w:val="25"/>
  </w:num>
  <w:num w:numId="8" w16cid:durableId="101607347">
    <w:abstractNumId w:val="21"/>
  </w:num>
  <w:num w:numId="9" w16cid:durableId="1431005483">
    <w:abstractNumId w:val="31"/>
  </w:num>
  <w:num w:numId="10" w16cid:durableId="623268250">
    <w:abstractNumId w:val="36"/>
  </w:num>
  <w:num w:numId="11" w16cid:durableId="1275210290">
    <w:abstractNumId w:val="24"/>
  </w:num>
  <w:num w:numId="12" w16cid:durableId="2127306124">
    <w:abstractNumId w:val="22"/>
  </w:num>
  <w:num w:numId="13" w16cid:durableId="1592085130">
    <w:abstractNumId w:val="14"/>
  </w:num>
  <w:num w:numId="14" w16cid:durableId="610162664">
    <w:abstractNumId w:val="17"/>
  </w:num>
  <w:num w:numId="15" w16cid:durableId="822625786">
    <w:abstractNumId w:val="28"/>
  </w:num>
  <w:num w:numId="16" w16cid:durableId="944456277">
    <w:abstractNumId w:val="27"/>
  </w:num>
  <w:num w:numId="17" w16cid:durableId="157500055">
    <w:abstractNumId w:val="10"/>
  </w:num>
  <w:num w:numId="18" w16cid:durableId="536623748">
    <w:abstractNumId w:val="37"/>
  </w:num>
  <w:num w:numId="19" w16cid:durableId="1079015648">
    <w:abstractNumId w:val="19"/>
  </w:num>
  <w:num w:numId="20" w16cid:durableId="1280992426">
    <w:abstractNumId w:val="11"/>
  </w:num>
  <w:num w:numId="21" w16cid:durableId="1820069285">
    <w:abstractNumId w:val="30"/>
  </w:num>
  <w:num w:numId="22" w16cid:durableId="1128860114">
    <w:abstractNumId w:val="12"/>
  </w:num>
  <w:num w:numId="23" w16cid:durableId="210699562">
    <w:abstractNumId w:val="33"/>
  </w:num>
  <w:num w:numId="24" w16cid:durableId="1195848548">
    <w:abstractNumId w:val="20"/>
  </w:num>
  <w:num w:numId="25" w16cid:durableId="1885363363">
    <w:abstractNumId w:val="23"/>
  </w:num>
  <w:num w:numId="26" w16cid:durableId="562102837">
    <w:abstractNumId w:val="15"/>
  </w:num>
  <w:num w:numId="27" w16cid:durableId="2139569325">
    <w:abstractNumId w:val="34"/>
  </w:num>
  <w:num w:numId="28" w16cid:durableId="1262841295">
    <w:abstractNumId w:val="9"/>
  </w:num>
  <w:num w:numId="29" w16cid:durableId="1923643466">
    <w:abstractNumId w:val="8"/>
  </w:num>
  <w:num w:numId="30" w16cid:durableId="326986025">
    <w:abstractNumId w:val="7"/>
  </w:num>
  <w:num w:numId="31" w16cid:durableId="270210860">
    <w:abstractNumId w:val="6"/>
  </w:num>
  <w:num w:numId="32" w16cid:durableId="1797260747">
    <w:abstractNumId w:val="5"/>
  </w:num>
  <w:num w:numId="33" w16cid:durableId="271589806">
    <w:abstractNumId w:val="4"/>
  </w:num>
  <w:num w:numId="34" w16cid:durableId="278221421">
    <w:abstractNumId w:val="3"/>
  </w:num>
  <w:num w:numId="35" w16cid:durableId="1681157176">
    <w:abstractNumId w:val="2"/>
  </w:num>
  <w:num w:numId="36" w16cid:durableId="1625037111">
    <w:abstractNumId w:val="1"/>
  </w:num>
  <w:num w:numId="37" w16cid:durableId="494340230">
    <w:abstractNumId w:val="0"/>
  </w:num>
  <w:num w:numId="38" w16cid:durableId="13199196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0470816">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1335"/>
    <w:rsid w:val="003357BF"/>
    <w:rsid w:val="00364FAD"/>
    <w:rsid w:val="0036738F"/>
    <w:rsid w:val="0036759C"/>
    <w:rsid w:val="00367AE5"/>
    <w:rsid w:val="00367D71"/>
    <w:rsid w:val="0038150A"/>
    <w:rsid w:val="003A4BFB"/>
    <w:rsid w:val="003B6E75"/>
    <w:rsid w:val="003D0379"/>
    <w:rsid w:val="003D2574"/>
    <w:rsid w:val="003D4C59"/>
    <w:rsid w:val="003D6D2A"/>
    <w:rsid w:val="003F4267"/>
    <w:rsid w:val="00400AA9"/>
    <w:rsid w:val="00404032"/>
    <w:rsid w:val="0040736F"/>
    <w:rsid w:val="00412C1F"/>
    <w:rsid w:val="00421CB2"/>
    <w:rsid w:val="004268B9"/>
    <w:rsid w:val="00433B96"/>
    <w:rsid w:val="004440F1"/>
    <w:rsid w:val="004456DD"/>
    <w:rsid w:val="00446CDF"/>
    <w:rsid w:val="004521B7"/>
    <w:rsid w:val="00462AB5"/>
    <w:rsid w:val="00465EAF"/>
    <w:rsid w:val="00467093"/>
    <w:rsid w:val="004738C5"/>
    <w:rsid w:val="004826EA"/>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2E7C"/>
    <w:rsid w:val="00575F5F"/>
    <w:rsid w:val="00581805"/>
    <w:rsid w:val="00585F76"/>
    <w:rsid w:val="00587C90"/>
    <w:rsid w:val="005A2220"/>
    <w:rsid w:val="005A34E4"/>
    <w:rsid w:val="005B17F2"/>
    <w:rsid w:val="005B7FB0"/>
    <w:rsid w:val="005C35A5"/>
    <w:rsid w:val="005C577C"/>
    <w:rsid w:val="005D0621"/>
    <w:rsid w:val="005D1E27"/>
    <w:rsid w:val="005E022E"/>
    <w:rsid w:val="005E3215"/>
    <w:rsid w:val="005E5215"/>
    <w:rsid w:val="005F7F7E"/>
    <w:rsid w:val="00614693"/>
    <w:rsid w:val="006159AC"/>
    <w:rsid w:val="00623C2F"/>
    <w:rsid w:val="00624DEC"/>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09FF"/>
    <w:rsid w:val="007F2348"/>
    <w:rsid w:val="00803F07"/>
    <w:rsid w:val="0080749A"/>
    <w:rsid w:val="00814B3A"/>
    <w:rsid w:val="00821AAF"/>
    <w:rsid w:val="00821FB8"/>
    <w:rsid w:val="00822ACD"/>
    <w:rsid w:val="0084607A"/>
    <w:rsid w:val="008550E0"/>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0432"/>
    <w:rsid w:val="00AD3292"/>
    <w:rsid w:val="00AE7AF0"/>
    <w:rsid w:val="00B22C73"/>
    <w:rsid w:val="00B500CA"/>
    <w:rsid w:val="00B558E1"/>
    <w:rsid w:val="00B7799F"/>
    <w:rsid w:val="00B86314"/>
    <w:rsid w:val="00BA1C2E"/>
    <w:rsid w:val="00BC200B"/>
    <w:rsid w:val="00BC4756"/>
    <w:rsid w:val="00BC492F"/>
    <w:rsid w:val="00BC69A4"/>
    <w:rsid w:val="00BE0680"/>
    <w:rsid w:val="00BE305F"/>
    <w:rsid w:val="00BE7BA3"/>
    <w:rsid w:val="00BF5682"/>
    <w:rsid w:val="00BF7B09"/>
    <w:rsid w:val="00C20A95"/>
    <w:rsid w:val="00C2692F"/>
    <w:rsid w:val="00C3207C"/>
    <w:rsid w:val="00C400E1"/>
    <w:rsid w:val="00C41187"/>
    <w:rsid w:val="00C56C1F"/>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5C3A"/>
    <w:rsid w:val="00D474CF"/>
    <w:rsid w:val="00D5547E"/>
    <w:rsid w:val="00D6683E"/>
    <w:rsid w:val="00D90A28"/>
    <w:rsid w:val="00DA413F"/>
    <w:rsid w:val="00DA4584"/>
    <w:rsid w:val="00DA614B"/>
    <w:rsid w:val="00DC3060"/>
    <w:rsid w:val="00DD2FED"/>
    <w:rsid w:val="00DE0FB2"/>
    <w:rsid w:val="00DF093E"/>
    <w:rsid w:val="00E01F42"/>
    <w:rsid w:val="00E0242D"/>
    <w:rsid w:val="00E206D6"/>
    <w:rsid w:val="00E3366E"/>
    <w:rsid w:val="00E52086"/>
    <w:rsid w:val="00E543A6"/>
    <w:rsid w:val="00E60479"/>
    <w:rsid w:val="00E61D73"/>
    <w:rsid w:val="00E73684"/>
    <w:rsid w:val="00E818D6"/>
    <w:rsid w:val="00E87F7A"/>
    <w:rsid w:val="00E93CFD"/>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5520"/>
    <w:rsid w:val="00F7606D"/>
    <w:rsid w:val="00F81670"/>
    <w:rsid w:val="00F82024"/>
    <w:rsid w:val="00F913EC"/>
    <w:rsid w:val="00F944DB"/>
    <w:rsid w:val="00F95BC9"/>
    <w:rsid w:val="00FA026E"/>
    <w:rsid w:val="00FA624C"/>
    <w:rsid w:val="00FB712C"/>
    <w:rsid w:val="00FD0FAC"/>
    <w:rsid w:val="00FD1DFA"/>
    <w:rsid w:val="00FD4966"/>
    <w:rsid w:val="00FE57DC"/>
    <w:rsid w:val="00FF7C7A"/>
    <w:rsid w:val="01F953A4"/>
    <w:rsid w:val="0211BB11"/>
    <w:rsid w:val="03CBAB02"/>
    <w:rsid w:val="03EDCDE1"/>
    <w:rsid w:val="045C6EE9"/>
    <w:rsid w:val="05677B63"/>
    <w:rsid w:val="0912D0F3"/>
    <w:rsid w:val="096051F0"/>
    <w:rsid w:val="09683F76"/>
    <w:rsid w:val="0A040982"/>
    <w:rsid w:val="0F1F2DA1"/>
    <w:rsid w:val="11E8A91F"/>
    <w:rsid w:val="12129E77"/>
    <w:rsid w:val="1245FE6B"/>
    <w:rsid w:val="14858C89"/>
    <w:rsid w:val="1514D7C4"/>
    <w:rsid w:val="163A1A33"/>
    <w:rsid w:val="174EBE00"/>
    <w:rsid w:val="176C9A0F"/>
    <w:rsid w:val="17876217"/>
    <w:rsid w:val="17D5EA94"/>
    <w:rsid w:val="19A3D20A"/>
    <w:rsid w:val="1A382E98"/>
    <w:rsid w:val="1B7B6E28"/>
    <w:rsid w:val="1D37789B"/>
    <w:rsid w:val="1D3B4ED9"/>
    <w:rsid w:val="1D88B112"/>
    <w:rsid w:val="1D936BB7"/>
    <w:rsid w:val="1F2C6EF9"/>
    <w:rsid w:val="1FE8E9FF"/>
    <w:rsid w:val="201B1185"/>
    <w:rsid w:val="20C051D4"/>
    <w:rsid w:val="215F31A6"/>
    <w:rsid w:val="21A466B3"/>
    <w:rsid w:val="21F0A659"/>
    <w:rsid w:val="222CB3BE"/>
    <w:rsid w:val="229CDB19"/>
    <w:rsid w:val="2470B3BE"/>
    <w:rsid w:val="259BB07D"/>
    <w:rsid w:val="2654449C"/>
    <w:rsid w:val="2880A3EB"/>
    <w:rsid w:val="29796A85"/>
    <w:rsid w:val="2A528ED3"/>
    <w:rsid w:val="2B225694"/>
    <w:rsid w:val="2D29CB4C"/>
    <w:rsid w:val="2D9A1A17"/>
    <w:rsid w:val="2E26C851"/>
    <w:rsid w:val="2E633D68"/>
    <w:rsid w:val="2E9D5274"/>
    <w:rsid w:val="2F12BA61"/>
    <w:rsid w:val="2F4292C3"/>
    <w:rsid w:val="302AB01B"/>
    <w:rsid w:val="319ADE2A"/>
    <w:rsid w:val="31D4F336"/>
    <w:rsid w:val="33BAD31E"/>
    <w:rsid w:val="341603E6"/>
    <w:rsid w:val="34C2C623"/>
    <w:rsid w:val="368C6EDD"/>
    <w:rsid w:val="372E527C"/>
    <w:rsid w:val="37696753"/>
    <w:rsid w:val="3A93523F"/>
    <w:rsid w:val="3AA10815"/>
    <w:rsid w:val="3B6A0EA3"/>
    <w:rsid w:val="3C3E3AC9"/>
    <w:rsid w:val="3E59914B"/>
    <w:rsid w:val="3F7B6DB6"/>
    <w:rsid w:val="3F82F505"/>
    <w:rsid w:val="3FF148B8"/>
    <w:rsid w:val="40283FCD"/>
    <w:rsid w:val="4031D85E"/>
    <w:rsid w:val="40D6A3CC"/>
    <w:rsid w:val="40EFCC29"/>
    <w:rsid w:val="40FBBB48"/>
    <w:rsid w:val="43546E72"/>
    <w:rsid w:val="43C29D2A"/>
    <w:rsid w:val="43E3D692"/>
    <w:rsid w:val="44BA6B41"/>
    <w:rsid w:val="44FE69E1"/>
    <w:rsid w:val="455E6D8B"/>
    <w:rsid w:val="45AA14EF"/>
    <w:rsid w:val="46D77DAF"/>
    <w:rsid w:val="4770C24F"/>
    <w:rsid w:val="4786F214"/>
    <w:rsid w:val="497425FE"/>
    <w:rsid w:val="49DA3369"/>
    <w:rsid w:val="4A2E00A8"/>
    <w:rsid w:val="4DEC6EC1"/>
    <w:rsid w:val="4EC96737"/>
    <w:rsid w:val="4FEE4425"/>
    <w:rsid w:val="503B5655"/>
    <w:rsid w:val="50CA844A"/>
    <w:rsid w:val="5126DCA2"/>
    <w:rsid w:val="51C9B8A8"/>
    <w:rsid w:val="52FAD009"/>
    <w:rsid w:val="547FD91F"/>
    <w:rsid w:val="549A03A4"/>
    <w:rsid w:val="55F780A6"/>
    <w:rsid w:val="57961E26"/>
    <w:rsid w:val="5A205359"/>
    <w:rsid w:val="5ACAF1C9"/>
    <w:rsid w:val="5ACDBEE8"/>
    <w:rsid w:val="5B5C07C9"/>
    <w:rsid w:val="5CFEAA3A"/>
    <w:rsid w:val="5E27568E"/>
    <w:rsid w:val="6343F637"/>
    <w:rsid w:val="638209EA"/>
    <w:rsid w:val="64642C8A"/>
    <w:rsid w:val="64F22111"/>
    <w:rsid w:val="652E4F15"/>
    <w:rsid w:val="667B96F9"/>
    <w:rsid w:val="66BD9F64"/>
    <w:rsid w:val="68773802"/>
    <w:rsid w:val="694FFFD7"/>
    <w:rsid w:val="6A1AAEF0"/>
    <w:rsid w:val="6BA366A7"/>
    <w:rsid w:val="6CD86F7F"/>
    <w:rsid w:val="6CE08967"/>
    <w:rsid w:val="6D8ABAF0"/>
    <w:rsid w:val="6E10F5C7"/>
    <w:rsid w:val="7029EF46"/>
    <w:rsid w:val="705FC6E5"/>
    <w:rsid w:val="70B6E995"/>
    <w:rsid w:val="714B9C52"/>
    <w:rsid w:val="7158449D"/>
    <w:rsid w:val="7186C39C"/>
    <w:rsid w:val="723F70BC"/>
    <w:rsid w:val="72ABB6D0"/>
    <w:rsid w:val="72DAECA1"/>
    <w:rsid w:val="73FCCBF2"/>
    <w:rsid w:val="7405B5F0"/>
    <w:rsid w:val="74878CFA"/>
    <w:rsid w:val="74BCD4F1"/>
    <w:rsid w:val="74E790A4"/>
    <w:rsid w:val="75333808"/>
    <w:rsid w:val="76A786F1"/>
    <w:rsid w:val="76CF0869"/>
    <w:rsid w:val="78DE1DEA"/>
    <w:rsid w:val="7B1A8870"/>
    <w:rsid w:val="7C8EB51C"/>
    <w:rsid w:val="7D8EC8DC"/>
    <w:rsid w:val="7E1D9F48"/>
    <w:rsid w:val="7EF003AE"/>
    <w:rsid w:val="7F2D57B7"/>
    <w:rsid w:val="7F553AD0"/>
    <w:rsid w:val="7F6A87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09C57"/>
  <w15:docId w15:val="{79925448-2026-43C8-BFB2-CF33102E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20"/>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8"/>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7"/>
      </w:numPr>
    </w:pPr>
  </w:style>
  <w:style w:type="paragraph" w:customStyle="1" w:styleId="Bulletpoints">
    <w:name w:val="Bullet points"/>
    <w:basedOn w:val="Normal"/>
    <w:link w:val="BulletpointsChar"/>
    <w:qFormat/>
    <w:rsid w:val="005570B5"/>
    <w:pPr>
      <w:numPr>
        <w:numId w:val="19"/>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360" w:hanging="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7"/>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semiHidden/>
    <w:unhideWhenUsed/>
    <w:rsid w:val="004826EA"/>
    <w:rPr>
      <w:color w:val="800080" w:themeColor="followedHyperlink"/>
      <w:u w:val="single"/>
    </w:rPr>
  </w:style>
  <w:style w:type="paragraph" w:customStyle="1" w:styleId="Default">
    <w:name w:val="Default"/>
    <w:rsid w:val="00BC492F"/>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75520"/>
    <w:rPr>
      <w:color w:val="605E5C"/>
      <w:shd w:val="clear" w:color="auto" w:fill="E1DFDD"/>
    </w:rPr>
  </w:style>
  <w:style w:type="character" w:customStyle="1" w:styleId="normaltextrun">
    <w:name w:val="normaltextrun"/>
    <w:basedOn w:val="DefaultParagraphFont"/>
    <w:rsid w:val="00FB712C"/>
  </w:style>
  <w:style w:type="character" w:customStyle="1" w:styleId="eop">
    <w:name w:val="eop"/>
    <w:basedOn w:val="DefaultParagraphFont"/>
    <w:rsid w:val="00FB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council.oxford.gov.uk/documents/g5772/Public%20reports%20pack%20Wednesday%2008-Sep-2021%2018.00%20Scrutiny%20Committee.pdf?T=1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documents/s56561/Tourism%20Review%20Group%20Update%20for%20Scrutiny%20Committee%206%20Oct%202020%20Final.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documents/b16952/Scrutiny%20reports%20and%20draft%20Cabinet%20responses%20to%20them%20Wednesday%2029-May-2019%2018.00%20Cabinet.pdf?T=9" TargetMode="External"/><Relationship Id="rId5" Type="http://schemas.openxmlformats.org/officeDocument/2006/relationships/numbering" Target="numbering.xml"/><Relationship Id="rId15" Type="http://schemas.openxmlformats.org/officeDocument/2006/relationships/hyperlink" Target="https://democratic.whitehorsedc.gov.uk/documents/g3204/Public%20reports%20pack%20Tuesday%2028-Nov-2023%2014.00%20The%20Future%20Oxfordshire%20Partnership.pdf?T=1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council.oxford.gov.uk/documents/s64610/Report%20to%20Cabinet%20-%20Tourism%20Review%20-%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289e97-0d63-4019-8f44-420cabf9f53d" xsi:nil="true"/>
    <lcf76f155ced4ddcb4097134ff3c332f xmlns="5dbcacbc-e47f-48b8-b755-e7c1dfdf10ad">
      <Terms xmlns="http://schemas.microsoft.com/office/infopath/2007/PartnerControls"/>
    </lcf76f155ced4ddcb4097134ff3c332f>
    <SharedWithUsers xmlns="f4289e97-0d63-4019-8f44-420cabf9f53d">
      <UserInfo>
        <DisplayName>PLOSZYNSKI Carolyn</DisplayName>
        <AccountId>24</AccountId>
        <AccountType/>
      </UserInfo>
      <UserInfo>
        <DisplayName>MAXWELL Ted</DisplayName>
        <AccountId>17</AccountId>
        <AccountType/>
      </UserInfo>
      <UserInfo>
        <DisplayName>LAVALLIN Clayton</DisplayName>
        <AccountId>22</AccountId>
        <AccountType/>
      </UserInfo>
      <UserInfo>
        <DisplayName>Councillor BROWN Susan</DisplayName>
        <AccountId>130</AccountId>
        <AccountType/>
      </UserInfo>
      <UserInfo>
        <DisplayName>BRIDGMAN Tom</DisplayName>
        <AccountId>18</AccountId>
        <AccountType/>
      </UserInfo>
      <UserInfo>
        <DisplayName>FAWCETT Diana</DisplayName>
        <AccountId>60</AccountId>
        <AccountType/>
      </UserInfo>
      <UserInfo>
        <DisplayName>COURTNEY Alice</DisplayName>
        <AccountId>52</AccountId>
        <AccountType/>
      </UserInfo>
    </SharedWithUsers>
    <MediaLengthInSeconds xmlns="5dbcacbc-e47f-48b8-b755-e7c1dfdf10a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7D48527A125645B3F8CD02DABC791E" ma:contentTypeVersion="16" ma:contentTypeDescription="Create a new document." ma:contentTypeScope="" ma:versionID="2b1135653a7f28f22a8b3e2a7f4035cd">
  <xsd:schema xmlns:xsd="http://www.w3.org/2001/XMLSchema" xmlns:xs="http://www.w3.org/2001/XMLSchema" xmlns:p="http://schemas.microsoft.com/office/2006/metadata/properties" xmlns:ns2="5dbcacbc-e47f-48b8-b755-e7c1dfdf10ad" xmlns:ns3="f4289e97-0d63-4019-8f44-420cabf9f53d" targetNamespace="http://schemas.microsoft.com/office/2006/metadata/properties" ma:root="true" ma:fieldsID="05ed985f450589b0c177710fcea0758c" ns2:_="" ns3:_="">
    <xsd:import namespace="5dbcacbc-e47f-48b8-b755-e7c1dfdf10ad"/>
    <xsd:import namespace="f4289e97-0d63-4019-8f44-420cabf9f5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acbc-e47f-48b8-b755-e7c1dfdf1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89e97-0d63-4019-8f44-420cabf9f5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6abcc3-4659-4bcd-9e29-8735d4091498}" ma:internalName="TaxCatchAll" ma:showField="CatchAllData" ma:web="f4289e97-0d63-4019-8f44-420cabf9f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ED3A9-6BDF-4C87-8DB3-375CA62C843E}">
  <ds:schemaRefs>
    <ds:schemaRef ds:uri="http://schemas.openxmlformats.org/officeDocument/2006/bibliography"/>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 ds:uri="f4289e97-0d63-4019-8f44-420cabf9f53d"/>
    <ds:schemaRef ds:uri="5dbcacbc-e47f-48b8-b755-e7c1dfdf10ad"/>
  </ds:schemaRefs>
</ds:datastoreItem>
</file>

<file path=customXml/itemProps4.xml><?xml version="1.0" encoding="utf-8"?>
<ds:datastoreItem xmlns:ds="http://schemas.openxmlformats.org/officeDocument/2006/customXml" ds:itemID="{0E0028D0-B271-4D2A-8EFB-B7116AB5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acbc-e47f-48b8-b755-e7c1dfdf10ad"/>
    <ds:schemaRef ds:uri="f4289e97-0d63-4019-8f44-420cabf9f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1376</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11</cp:revision>
  <cp:lastPrinted>2015-07-03T12:50:00Z</cp:lastPrinted>
  <dcterms:created xsi:type="dcterms:W3CDTF">2024-03-18T11:30:00Z</dcterms:created>
  <dcterms:modified xsi:type="dcterms:W3CDTF">2024-04-02T08:59:00Z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0x010100B97D48527A125645B3F8CD02DABC791E</vt:lpwstr>
  </property>
  <property fmtid="{D5CDD505-2E9C-101B-9397-08002B2CF9AE}" pid="3" name="Order">
    <vt:r8>559200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_activity">
    <vt:lpwstr>{"FileActivityType":"6","FileActivityTimeStamp":"2024-03-18T14:01:01.730Z","FileActivityUsersOnPage":[{"DisplayName":"MAXWELL Ted","Id":"tmaxwell@oxford.gov.uk"}],"FileActivityNavigationId":null}</vt:lpwstr>
  </property>
</Properties>
</file>